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96</w:t>
      </w:r>
    </w:p>
    <w:p>
      <w:pPr>
        <w:spacing w:before="0" w:after="0"/>
        <w:ind w:left="120"/>
        <w:jc w:val="center"/>
      </w:pPr>
      <w:r>
        <w:rPr>
          <w:rFonts w:ascii="Times New Roman" w:hAnsi="Times New Roman"/>
          <w:b w:val="false"/>
          <w:i w:val="false"/>
          <w:color w:val="000000"/>
          <w:sz w:val="21"/>
        </w:rPr>
        <w:t>PHEASANT, QUAIL AND GRAY (HUNGARIAN)</w:t>
      </w:r>
      <w:r>
        <w:br/>
      </w:r>
      <w:r>
        <w:rPr>
          <w:rFonts w:ascii="Times New Roman" w:hAnsi="Times New Roman"/>
          <w:b w:val="false"/>
          <w:i w:val="false"/>
          <w:color w:val="000000"/>
          <w:sz w:val="21"/>
        </w:rPr>
        <w:t>PARTRIDGE HUNTING SEASONS</w:t>
      </w:r>
    </w:p>
    <w:p>
      <w:pPr>
        <w:spacing w:before="0" w:after="0"/>
        <w:ind w:left="120"/>
        <w:jc w:val="center"/>
      </w:pPr>
      <w:r>
        <w:rPr>
          <w:rFonts w:ascii="Times New Roman" w:hAnsi="Times New Roman"/>
          <w:b w:val="false"/>
          <w:i w:val="false"/>
          <w:color w:val="000000"/>
          <w:sz w:val="14"/>
        </w:rPr>
        <w:t>[Prior to 12/31/86, Conservation Commission[290] Ch 103]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571—96.1</w:t>
      </w:r>
      <w:r>
        <w:rPr>
          <w:rFonts w:ascii="Times New Roman" w:hAnsi="Times New Roman"/>
          <w:b/>
          <w:i w:val="false"/>
          <w:color w:val="000000"/>
          <w:sz w:val="22"/>
        </w:rPr>
        <w:t xml:space="preserve">(481A) </w:t>
      </w:r>
      <w:r>
        <w:rPr>
          <w:rFonts w:ascii="Times New Roman" w:hAnsi="Times New Roman"/>
          <w:b/>
          <w:i w:val="false"/>
          <w:color w:val="000000"/>
          <w:sz w:val="22"/>
        </w:rPr>
        <w:t xml:space="preserve">Pheasant season.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96.1(1)</w:t>
      </w:r>
      <w:r>
        <w:rPr>
          <w:rFonts w:ascii="Times New Roman" w:hAnsi="Times New Roman"/>
          <w:b w:val="false"/>
          <w:i w:val="false"/>
          <w:color w:val="000000"/>
          <w:sz w:val="22"/>
        </w:rPr>
        <w:t> </w:t>
      </w:r>
      <w:r>
        <w:rPr>
          <w:rFonts w:ascii="Times New Roman" w:hAnsi="Times New Roman"/>
          <w:b w:val="false"/>
          <w:i/>
          <w:color w:val="000000"/>
          <w:sz w:val="22"/>
        </w:rPr>
        <w:t xml:space="preserve">Open season. </w:t>
      </w:r>
      <w:r>
        <w:rPr>
          <w:rFonts w:ascii="Times New Roman" w:hAnsi="Times New Roman"/>
          <w:b w:val="false"/>
          <w:i w:val="false"/>
          <w:color w:val="000000"/>
          <w:sz w:val="22"/>
        </w:rPr>
        <w:t>Open season for hunting pheasants shall be the last Saturday in October through January 10 of succeeding year. Bag limit 3 cock birds daily; possession limit 12 cock birds. Shooting hours shall be from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Entire state open.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96.1(2)</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No person shall transport a pheasant within the state without a leg and foot, or fully feathered wing, or fully feathered head attached to the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96.1(3)</w:t>
      </w:r>
      <w:r>
        <w:rPr>
          <w:rFonts w:ascii="Times New Roman" w:hAnsi="Times New Roman"/>
          <w:b w:val="false"/>
          <w:i w:val="false"/>
          <w:color w:val="000000"/>
          <w:sz w:val="22"/>
        </w:rPr>
        <w:t> </w:t>
      </w:r>
      <w:r>
        <w:rPr>
          <w:rFonts w:ascii="Times New Roman" w:hAnsi="Times New Roman"/>
          <w:b w:val="false"/>
          <w:i/>
          <w:color w:val="000000"/>
          <w:sz w:val="22"/>
        </w:rPr>
        <w:t xml:space="preserve">Youth pheasant hunt. </w:t>
      </w:r>
      <w:r>
        <w:rPr>
          <w:rFonts w:ascii="Times New Roman" w:hAnsi="Times New Roman"/>
          <w:b w:val="false"/>
          <w:i w:val="false"/>
          <w:color w:val="000000"/>
          <w:sz w:val="22"/>
        </w:rPr>
        <w:t>A special two-day youth pheasant hunt for residents only will be held statewide on the weekend preceding the last Saturday in October. Youth hunters must be 15 years old or younger. Each youth hunter must be accompanied by an adult 18 years old or older. The youth hunter does not need to have a hunting license or stamps. The adult must have a valid hunting license and habitat stamp if normally required to have them to hunt. Only the youth hunter may shoot pheasants. The daily bag limit is 1 cock bird and possession limit is 2 cock birds after the first day. All other hunting regulations in effect for the regular pheasant season apply to the youth hunt.</w:t>
      </w:r>
    </w:p>
    <w:p>
      <w:pPr>
        <w:spacing w:before="0" w:after="0"/>
        <w:ind w:left="120"/>
        <w:jc w:val="both"/>
      </w:pPr>
      <w:r>
        <w:rPr>
          <w:rFonts w:ascii="Times New Roman" w:hAnsi="Times New Roman"/>
          <w:b/>
          <w:i w:val="false"/>
          <w:color w:val="000000"/>
          <w:sz w:val="22"/>
        </w:rPr>
        <w:t>571—96.2</w:t>
      </w:r>
      <w:r>
        <w:rPr>
          <w:rFonts w:ascii="Times New Roman" w:hAnsi="Times New Roman"/>
          <w:b/>
          <w:i w:val="false"/>
          <w:color w:val="000000"/>
          <w:sz w:val="22"/>
        </w:rPr>
        <w:t xml:space="preserve">(481A) </w:t>
      </w:r>
      <w:r>
        <w:rPr>
          <w:rFonts w:ascii="Times New Roman" w:hAnsi="Times New Roman"/>
          <w:b/>
          <w:i w:val="false"/>
          <w:color w:val="000000"/>
          <w:sz w:val="22"/>
        </w:rPr>
        <w:t xml:space="preserve">Gray (Hungarian) partridge season. </w:t>
      </w:r>
      <w:r>
        <w:rPr>
          <w:rFonts w:ascii="Times New Roman" w:hAnsi="Times New Roman"/>
          <w:b w:val="false"/>
          <w:i w:val="false"/>
          <w:color w:val="000000"/>
          <w:sz w:val="22"/>
        </w:rPr>
        <w:t>Open season for hunting gray partridge shall be the second Saturday in October through January 31 of succeeding year. Bag limit 8 birds daily; possession limit 16 birds. Shooting hours shall be from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Entire state open.</w:t>
      </w:r>
    </w:p>
    <w:p>
      <w:pPr>
        <w:spacing w:before="0" w:after="0"/>
        <w:ind w:left="120"/>
        <w:jc w:val="both"/>
      </w:pPr>
      <w:r>
        <w:rPr>
          <w:rFonts w:ascii="Times New Roman" w:hAnsi="Times New Roman"/>
          <w:b/>
          <w:i w:val="false"/>
          <w:color w:val="000000"/>
          <w:sz w:val="22"/>
        </w:rPr>
        <w:t>571—96.3</w:t>
      </w:r>
      <w:r>
        <w:rPr>
          <w:rFonts w:ascii="Times New Roman" w:hAnsi="Times New Roman"/>
          <w:b/>
          <w:i w:val="false"/>
          <w:color w:val="000000"/>
          <w:sz w:val="22"/>
        </w:rPr>
        <w:t xml:space="preserve">(481A) </w:t>
      </w:r>
      <w:r>
        <w:rPr>
          <w:rFonts w:ascii="Times New Roman" w:hAnsi="Times New Roman"/>
          <w:b/>
          <w:i w:val="false"/>
          <w:color w:val="000000"/>
          <w:sz w:val="22"/>
        </w:rPr>
        <w:t xml:space="preserve">Quail season. </w:t>
      </w:r>
      <w:r>
        <w:rPr>
          <w:rFonts w:ascii="Times New Roman" w:hAnsi="Times New Roman"/>
          <w:b w:val="false"/>
          <w:i w:val="false"/>
          <w:color w:val="000000"/>
          <w:sz w:val="22"/>
        </w:rPr>
        <w:t>Open season for hunting quail shall be the last Saturday in October through January 31 of succeeding year. Bag limit 8 birds daily; possession limit 16 birds. Shooting hours shall be from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Entire state open.</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5">
        <w:r>
          <w:rPr>
            <w:rStyle w:val="Hyperlink"/>
            <w:rFonts w:ascii="Times New Roman" w:hAnsi="Times New Roman"/>
            <w:b w:val="false"/>
            <w:i w:val="false"/>
            <w:color w:val="000000"/>
            <w:sz w:val="22"/>
          </w:rPr>
          <w:t>481A.38</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481A.48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8/29/75]</w:t>
      </w:r>
    </w:p>
    <w:p>
      <w:pPr>
        <w:spacing w:before="0" w:after="0"/>
        <w:ind w:left="120"/>
        <w:jc w:val="center"/>
      </w:pPr>
      <w:r>
        <w:rPr>
          <w:rFonts w:ascii="Times New Roman" w:hAnsi="Times New Roman"/>
          <w:b w:val="false"/>
          <w:i w:val="false"/>
          <w:color w:val="000000"/>
          <w:sz w:val="21"/>
        </w:rPr>
        <w:t>[Filed emergency 9/2/76—published 9/22/76, effective 9/2/76]</w:t>
      </w:r>
    </w:p>
    <w:p>
      <w:pPr>
        <w:spacing w:before="0" w:after="0"/>
        <w:ind w:left="120"/>
        <w:jc w:val="center"/>
      </w:pPr>
      <w:r>
        <w:rPr>
          <w:rFonts w:ascii="Times New Roman" w:hAnsi="Times New Roman"/>
          <w:b w:val="false"/>
          <w:i w:val="false"/>
          <w:color w:val="000000"/>
          <w:sz w:val="21"/>
        </w:rPr>
        <w:t>[Filed emergency 9/1/77—published 9/21/77, effective 9/1/77]</w:t>
      </w:r>
    </w:p>
    <w:p>
      <w:pPr>
        <w:spacing w:before="0" w:after="0"/>
        <w:ind w:left="120"/>
        <w:jc w:val="center"/>
      </w:pPr>
      <w:r>
        <w:rPr>
          <w:rFonts w:ascii="Times New Roman" w:hAnsi="Times New Roman"/>
          <w:b w:val="false"/>
          <w:i w:val="false"/>
          <w:color w:val="000000"/>
          <w:sz w:val="21"/>
        </w:rPr>
        <w:t>[Filed 8/30/78, Notice 3/8/78—published 9/20/78, effective 10/25/78]</w:t>
      </w:r>
    </w:p>
    <w:p>
      <w:pPr>
        <w:spacing w:before="0" w:after="0"/>
        <w:ind w:left="120"/>
        <w:jc w:val="center"/>
      </w:pPr>
      <w:r>
        <w:rPr>
          <w:rFonts w:ascii="Times New Roman" w:hAnsi="Times New Roman"/>
          <w:b w:val="false"/>
          <w:i w:val="false"/>
          <w:color w:val="000000"/>
          <w:sz w:val="21"/>
        </w:rPr>
        <w:t>[Filed 8/29/79, Notice 3/7/79—published 9/19/79, effective 10/24/79]</w:t>
      </w:r>
    </w:p>
    <w:p>
      <w:pPr>
        <w:spacing w:before="0" w:after="0"/>
        <w:ind w:left="120"/>
        <w:jc w:val="center"/>
      </w:pPr>
      <w:r>
        <w:rPr>
          <w:rFonts w:ascii="Times New Roman" w:hAnsi="Times New Roman"/>
          <w:b w:val="false"/>
          <w:i w:val="false"/>
          <w:color w:val="000000"/>
          <w:sz w:val="21"/>
        </w:rPr>
        <w:t>[Filed 8/29/80, Notice 3/5/80—published 9/17/80, effective 10/22/80]</w:t>
      </w:r>
    </w:p>
    <w:p>
      <w:pPr>
        <w:spacing w:before="0" w:after="0"/>
        <w:ind w:left="120"/>
        <w:jc w:val="center"/>
      </w:pPr>
      <w:r>
        <w:rPr>
          <w:rFonts w:ascii="Times New Roman" w:hAnsi="Times New Roman"/>
          <w:b w:val="false"/>
          <w:i w:val="false"/>
          <w:color w:val="000000"/>
          <w:sz w:val="21"/>
        </w:rPr>
        <w:t>[Filed 9/4/81, Notice 3/4/81—published 9/30/81, effective 11/4/81]</w:t>
      </w:r>
    </w:p>
    <w:p>
      <w:pPr>
        <w:spacing w:before="0" w:after="0"/>
        <w:ind w:left="120"/>
        <w:jc w:val="center"/>
      </w:pPr>
      <w:r>
        <w:rPr>
          <w:rFonts w:ascii="Times New Roman" w:hAnsi="Times New Roman"/>
          <w:b w:val="false"/>
          <w:i w:val="false"/>
          <w:color w:val="000000"/>
          <w:sz w:val="21"/>
        </w:rPr>
        <w:t>[Filed 9/2/82, Notice 3/3/82—published 9/29/82, effective 11/3/82]</w:t>
      </w:r>
    </w:p>
    <w:p>
      <w:pPr>
        <w:spacing w:before="0" w:after="0"/>
        <w:ind w:left="120"/>
        <w:jc w:val="center"/>
      </w:pPr>
      <w:r>
        <w:rPr>
          <w:rFonts w:ascii="Times New Roman" w:hAnsi="Times New Roman"/>
          <w:b w:val="false"/>
          <w:i w:val="false"/>
          <w:color w:val="000000"/>
          <w:sz w:val="21"/>
        </w:rPr>
        <w:t>[Filed 9/1/83, Notice 3/30/83—published 9/28/83, effective 11/2/83]</w:t>
      </w:r>
    </w:p>
    <w:p>
      <w:pPr>
        <w:spacing w:before="0" w:after="0"/>
        <w:ind w:left="120"/>
        <w:jc w:val="center"/>
      </w:pPr>
      <w:r>
        <w:rPr>
          <w:rFonts w:ascii="Times New Roman" w:hAnsi="Times New Roman"/>
          <w:b w:val="false"/>
          <w:i w:val="false"/>
          <w:color w:val="000000"/>
          <w:sz w:val="21"/>
        </w:rPr>
        <w:t>[Filed 9/7/84, Notice 2/29/84—published 9/26/84, 10/24/84, effective 11/1/84]</w:t>
      </w:r>
    </w:p>
    <w:p>
      <w:pPr>
        <w:spacing w:before="0" w:after="0"/>
        <w:ind w:left="120"/>
        <w:jc w:val="center"/>
      </w:pPr>
      <w:r>
        <w:rPr>
          <w:rFonts w:ascii="Times New Roman" w:hAnsi="Times New Roman"/>
          <w:b w:val="false"/>
          <w:i w:val="false"/>
          <w:color w:val="000000"/>
          <w:sz w:val="21"/>
        </w:rPr>
        <w:t>[Filed 9/5/85, Notice 2/27/85—published 9/25/85, effective 11/1/85]</w:t>
      </w:r>
    </w:p>
    <w:p>
      <w:pPr>
        <w:spacing w:before="0" w:after="0"/>
        <w:ind w:left="120"/>
        <w:jc w:val="center"/>
      </w:pPr>
      <w:r>
        <w:rPr>
          <w:rFonts w:ascii="Times New Roman" w:hAnsi="Times New Roman"/>
          <w:b w:val="false"/>
          <w:i w:val="false"/>
          <w:color w:val="000000"/>
          <w:sz w:val="21"/>
        </w:rPr>
        <w:t>[Filed 9/3/86, Notice 2/26/86—published 9/24/86, effective 10/29/86]</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9/4/87, Notice 3/11/87—published 9/23/87, effective 10/28/87]</w:t>
      </w:r>
    </w:p>
    <w:p>
      <w:pPr>
        <w:spacing w:before="0" w:after="0"/>
        <w:ind w:left="120"/>
        <w:jc w:val="center"/>
      </w:pPr>
      <w:r>
        <w:rPr>
          <w:rFonts w:ascii="Times New Roman" w:hAnsi="Times New Roman"/>
          <w:b w:val="false"/>
          <w:i w:val="false"/>
          <w:color w:val="000000"/>
          <w:sz w:val="21"/>
        </w:rPr>
        <w:t>[Filed 9/2/88, Notice 2/24/88—published 9/21/88, effective 10/26/88]</w:t>
      </w:r>
    </w:p>
    <w:p>
      <w:pPr>
        <w:spacing w:before="0" w:after="0"/>
        <w:ind w:left="120"/>
        <w:jc w:val="center"/>
      </w:pPr>
      <w:r>
        <w:rPr>
          <w:rFonts w:ascii="Times New Roman" w:hAnsi="Times New Roman"/>
          <w:b w:val="false"/>
          <w:i w:val="false"/>
          <w:color w:val="000000"/>
          <w:sz w:val="21"/>
        </w:rPr>
        <w:t>[Filed emergency 9/15/89 after Notice of 3/8/89—published 10/4/89, effective 9/15/89]</w:t>
      </w:r>
    </w:p>
    <w:p>
      <w:pPr>
        <w:spacing w:before="0" w:after="0"/>
        <w:ind w:left="120"/>
        <w:jc w:val="center"/>
      </w:pPr>
      <w:r>
        <w:rPr>
          <w:rFonts w:ascii="Times New Roman" w:hAnsi="Times New Roman"/>
          <w:b w:val="false"/>
          <w:i w:val="false"/>
          <w:color w:val="000000"/>
          <w:sz w:val="21"/>
        </w:rPr>
        <w:t>[Filed emergency 9/13/90 after Notice of 3/7/90—published 10/3/90, effective 9/13/90]</w:t>
      </w:r>
    </w:p>
    <w:p>
      <w:pPr>
        <w:spacing w:before="0" w:after="0"/>
        <w:ind w:left="120"/>
        <w:jc w:val="center"/>
      </w:pPr>
      <w:r>
        <w:rPr>
          <w:rFonts w:ascii="Times New Roman" w:hAnsi="Times New Roman"/>
          <w:b w:val="false"/>
          <w:i w:val="false"/>
          <w:color w:val="000000"/>
          <w:sz w:val="21"/>
        </w:rPr>
        <w:t>[Filed emergency 9/13/91 after Notice 3/6/91—published 10/2/91, effective 9/13/91]</w:t>
      </w:r>
    </w:p>
    <w:p>
      <w:pPr>
        <w:spacing w:before="0" w:after="0"/>
        <w:ind w:left="120"/>
        <w:jc w:val="center"/>
      </w:pPr>
      <w:r>
        <w:rPr>
          <w:rFonts w:ascii="Times New Roman" w:hAnsi="Times New Roman"/>
          <w:b w:val="false"/>
          <w:i w:val="false"/>
          <w:color w:val="000000"/>
          <w:sz w:val="21"/>
        </w:rPr>
        <w:t>[Filed emergency 9/10/92 after Notice 3/4/92—published 9/30/92, effective 9/10/92]</w:t>
      </w:r>
    </w:p>
    <w:p>
      <w:pPr>
        <w:spacing w:before="0" w:after="0"/>
        <w:ind w:left="120"/>
        <w:jc w:val="center"/>
      </w:pPr>
      <w:r>
        <w:rPr>
          <w:rFonts w:ascii="Times New Roman" w:hAnsi="Times New Roman"/>
          <w:b w:val="false"/>
          <w:i w:val="false"/>
          <w:color w:val="000000"/>
          <w:sz w:val="21"/>
        </w:rPr>
        <w:t>[Filed emergency 9/10/93 after Notice 3/31/93—published 9/29/93, effective 9/10/93]</w:t>
      </w:r>
    </w:p>
    <w:p>
      <w:pPr>
        <w:spacing w:before="0" w:after="0"/>
        <w:ind w:left="120"/>
        <w:jc w:val="center"/>
      </w:pPr>
      <w:r>
        <w:rPr>
          <w:rFonts w:ascii="Times New Roman" w:hAnsi="Times New Roman"/>
          <w:b w:val="false"/>
          <w:i w:val="false"/>
          <w:color w:val="000000"/>
          <w:sz w:val="21"/>
        </w:rPr>
        <w:t>[Filed emergency 9/9/94 after Notice 3/2/94—published 9/28/94, effective 9/9/94]</w:t>
      </w:r>
    </w:p>
    <w:p>
      <w:pPr>
        <w:spacing w:before="0" w:after="0"/>
        <w:ind w:left="120"/>
        <w:jc w:val="center"/>
      </w:pPr>
      <w:r>
        <w:rPr>
          <w:rFonts w:ascii="Times New Roman" w:hAnsi="Times New Roman"/>
          <w:b w:val="false"/>
          <w:i w:val="false"/>
          <w:color w:val="000000"/>
          <w:sz w:val="21"/>
        </w:rPr>
        <w:t>[Filed emergency 9/8/95 after Notice 3/1/95—published 9/27/95, effective 9/8/95]</w:t>
      </w:r>
    </w:p>
    <w:p>
      <w:pPr>
        <w:spacing w:before="0" w:after="0"/>
        <w:ind w:left="120"/>
        <w:jc w:val="center"/>
      </w:pPr>
      <w:r>
        <w:rPr>
          <w:rFonts w:ascii="Times New Roman" w:hAnsi="Times New Roman"/>
          <w:b w:val="false"/>
          <w:i w:val="false"/>
          <w:color w:val="000000"/>
          <w:sz w:val="21"/>
        </w:rPr>
        <w:t>[Filed 5/15/97, Notice 3/12/97—published 6/4/97, effective 7/9/97]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1A.38.pdf" Type="http://schemas.openxmlformats.org/officeDocument/2006/relationships/hyperlink" Id="rId5"/>
    <Relationship TargetMode="External" Target="https://www.legis.iowa.gov/docs/ico/chapter/481A.39.pdf" Type="http://schemas.openxmlformats.org/officeDocument/2006/relationships/hyperlink" Id="rId6"/>
    <Relationship TargetMode="External" Target="https://www.legis.iowa.gov/docs/ico/chapter/481A.48.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