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91</w:t>
      </w:r>
    </w:p>
    <w:p>
      <w:pPr>
        <w:spacing w:before="0" w:after="0"/>
        <w:ind w:left="120"/>
        <w:jc w:val="center"/>
      </w:pPr>
      <w:r>
        <w:rPr>
          <w:rFonts w:ascii="Times New Roman" w:hAnsi="Times New Roman"/>
          <w:b w:val="false"/>
          <w:i w:val="false"/>
          <w:color w:val="000000"/>
          <w:sz w:val="21"/>
        </w:rPr>
        <w:t>WATERFOWL AND COOT HUNTING SEASONS</w:t>
      </w:r>
    </w:p>
    <w:p>
      <w:pPr>
        <w:spacing w:before="0" w:after="0"/>
        <w:ind w:left="120"/>
        <w:jc w:val="center"/>
      </w:pPr>
      <w:r>
        <w:rPr>
          <w:rFonts w:ascii="Times New Roman" w:hAnsi="Times New Roman"/>
          <w:b w:val="false"/>
          <w:i w:val="false"/>
          <w:color w:val="000000"/>
          <w:sz w:val="14"/>
        </w:rPr>
        <w:t>[Prior to 12/31/86, Conservation Commission[290] Ch 107]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571—91.1</w:t>
      </w:r>
      <w:r>
        <w:rPr>
          <w:rFonts w:ascii="Times New Roman" w:hAnsi="Times New Roman"/>
          <w:b/>
          <w:i w:val="false"/>
          <w:color w:val="000000"/>
          <w:sz w:val="22"/>
        </w:rPr>
        <w:t xml:space="preserve">(481A) </w:t>
      </w:r>
      <w:r>
        <w:rPr>
          <w:rFonts w:ascii="Times New Roman" w:hAnsi="Times New Roman"/>
          <w:b/>
          <w:i w:val="false"/>
          <w:color w:val="000000"/>
          <w:sz w:val="22"/>
        </w:rPr>
        <w:t xml:space="preserve">Duck hunting.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w:t>
      </w:r>
      <w:r>
        <w:rPr>
          <w:rFonts w:ascii="Times New Roman" w:hAnsi="Times New Roman"/>
          <w:b w:val="false"/>
          <w:i w:val="false"/>
          <w:color w:val="000000"/>
          <w:sz w:val="22"/>
        </w:rPr>
        <w:t> </w:t>
      </w:r>
      <w:r>
        <w:rPr>
          <w:rFonts w:ascii="Times New Roman" w:hAnsi="Times New Roman"/>
          <w:b w:val="false"/>
          <w:i/>
          <w:color w:val="000000"/>
          <w:sz w:val="22"/>
        </w:rPr>
        <w:t xml:space="preserve">Zone boundaries. </w:t>
      </w:r>
      <w:r>
        <w:rPr>
          <w:rFonts w:ascii="Times New Roman" w:hAnsi="Times New Roman"/>
          <w:b w:val="false"/>
          <w:i w:val="false"/>
          <w:color w:val="000000"/>
          <w:sz w:val="22"/>
        </w:rPr>
        <w:t>Zone boundaries are as specified in the November 2023 Waterfowl Hunting Map Book published on the department of natural resources’ (department’s) website (</w:t>
      </w:r>
      <w:hyperlink r:id="rId5">
        <w:r>
          <w:rPr>
            <w:rStyle w:val="Hyperlink"/>
            <w:rFonts w:ascii="Times New Roman" w:hAnsi="Times New Roman"/>
            <w:b w:val="false"/>
            <w:i w:val="false"/>
            <w:color w:val="000000"/>
            <w:sz w:val="22"/>
            <w:u w:val="single"/>
          </w:rPr>
          <w:t>www.iowadnr.gov/Hunting/Migratory-Game-Birds</w:t>
        </w:r>
      </w:hyperlink>
      <w:r>
        <w:rPr>
          <w:rFonts w:ascii="Times New Roman" w:hAnsi="Times New Roman"/>
          <w:b w:val="false"/>
          <w:i w:val="false"/>
          <w:color w:val="000000"/>
          <w:sz w:val="22"/>
        </w:rPr>
        <w:t>), chapter 1 “Waterfowl Hunting Zones.”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w:t>
      </w:r>
      <w:r>
        <w:rPr>
          <w:rFonts w:ascii="Times New Roman" w:hAnsi="Times New Roman"/>
          <w:b w:val="false"/>
          <w:i w:val="false"/>
          <w:color w:val="000000"/>
          <w:sz w:val="22"/>
        </w:rPr>
        <w:t> </w:t>
      </w:r>
      <w:r>
        <w:rPr>
          <w:rFonts w:ascii="Times New Roman" w:hAnsi="Times New Roman"/>
          <w:b w:val="false"/>
          <w:i/>
          <w:color w:val="000000"/>
          <w:sz w:val="22"/>
        </w:rPr>
        <w:t xml:space="preserve">Season dates - north zone. </w:t>
      </w:r>
      <w:r>
        <w:rPr>
          <w:rFonts w:ascii="Times New Roman" w:hAnsi="Times New Roman"/>
          <w:b w:val="false"/>
          <w:i w:val="false"/>
          <w:color w:val="000000"/>
          <w:sz w:val="22"/>
        </w:rPr>
        <w:t>Special September teal season: September 1 through September 16. For all ducks: The first segment of the season will begin on the Saturday nearest September 30 and run for seven days. The second segment of the season will open on the Saturday nearest October 13 and continue for 53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w:t>
      </w:r>
      <w:r>
        <w:rPr>
          <w:rFonts w:ascii="Times New Roman" w:hAnsi="Times New Roman"/>
          <w:b w:val="false"/>
          <w:i w:val="false"/>
          <w:color w:val="000000"/>
          <w:sz w:val="22"/>
        </w:rPr>
        <w:t> </w:t>
      </w:r>
      <w:r>
        <w:rPr>
          <w:rFonts w:ascii="Times New Roman" w:hAnsi="Times New Roman"/>
          <w:b w:val="false"/>
          <w:i/>
          <w:color w:val="000000"/>
          <w:sz w:val="22"/>
        </w:rPr>
        <w:t xml:space="preserve">Season dates - central zone. </w:t>
      </w:r>
      <w:r>
        <w:rPr>
          <w:rFonts w:ascii="Times New Roman" w:hAnsi="Times New Roman"/>
          <w:b w:val="false"/>
          <w:i w:val="false"/>
          <w:color w:val="000000"/>
          <w:sz w:val="22"/>
        </w:rPr>
        <w:t>Special September teal season: September 1 through September 16. For all ducks: The first segment of the season will begin on the Saturday nearest October 6 and run for seven days. The second segment of the season will open on the Saturday nearest October 20 and continue for 53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w:t>
      </w:r>
      <w:r>
        <w:rPr>
          <w:rFonts w:ascii="Times New Roman" w:hAnsi="Times New Roman"/>
          <w:b w:val="false"/>
          <w:i w:val="false"/>
          <w:color w:val="000000"/>
          <w:sz w:val="22"/>
        </w:rPr>
        <w:t> </w:t>
      </w:r>
      <w:r>
        <w:rPr>
          <w:rFonts w:ascii="Times New Roman" w:hAnsi="Times New Roman"/>
          <w:b w:val="false"/>
          <w:i/>
          <w:color w:val="000000"/>
          <w:sz w:val="22"/>
        </w:rPr>
        <w:t xml:space="preserve">Season dates - south zone. </w:t>
      </w:r>
      <w:r>
        <w:rPr>
          <w:rFonts w:ascii="Times New Roman" w:hAnsi="Times New Roman"/>
          <w:b w:val="false"/>
          <w:i w:val="false"/>
          <w:color w:val="000000"/>
          <w:sz w:val="22"/>
        </w:rPr>
        <w:t>Special September teal season: September 1 through September 16. For all ducks: The first segment of the season will begin on the Saturday nearest October 13 and run for seven days. The second segment of the season will open on the Saturday nearest October 27 and continue for 53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91.1(5)</w:t>
      </w:r>
      <w:r>
        <w:rPr>
          <w:rFonts w:ascii="Times New Roman" w:hAnsi="Times New Roman"/>
          <w:b w:val="false"/>
          <w:i w:val="false"/>
          <w:color w:val="000000"/>
          <w:sz w:val="22"/>
        </w:rPr>
        <w:t> </w:t>
      </w:r>
      <w:r>
        <w:rPr>
          <w:rFonts w:ascii="Times New Roman" w:hAnsi="Times New Roman"/>
          <w:b w:val="false"/>
          <w:i/>
          <w:color w:val="000000"/>
          <w:sz w:val="22"/>
        </w:rPr>
        <w:t xml:space="preserve">Bag limit. </w:t>
      </w:r>
      <w:r>
        <w:rPr>
          <w:rFonts w:ascii="Times New Roman" w:hAnsi="Times New Roman"/>
          <w:b w:val="false"/>
          <w:i w:val="false"/>
          <w:color w:val="000000"/>
          <w:sz w:val="22"/>
        </w:rPr>
        <w:t>Bag limits for all species are as adopted by the U.S. Fish and Wildlife Service. The daily bag limit for scaup will be one for the first 15 days of the duck hunting season and two for the remaining 45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91.1(6)</w:t>
      </w:r>
      <w:r>
        <w:rPr>
          <w:rFonts w:ascii="Times New Roman" w:hAnsi="Times New Roman"/>
          <w:b w:val="false"/>
          <w:i w:val="false"/>
          <w:color w:val="000000"/>
          <w:sz w:val="22"/>
        </w:rPr>
        <w:t> </w:t>
      </w:r>
      <w:r>
        <w:rPr>
          <w:rFonts w:ascii="Times New Roman" w:hAnsi="Times New Roman"/>
          <w:b w:val="false"/>
          <w:i/>
          <w:color w:val="000000"/>
          <w:sz w:val="22"/>
        </w:rPr>
        <w:t xml:space="preserve">Possession limit. </w:t>
      </w:r>
      <w:r>
        <w:rPr>
          <w:rFonts w:ascii="Times New Roman" w:hAnsi="Times New Roman"/>
          <w:b w:val="false"/>
          <w:i w:val="false"/>
          <w:color w:val="000000"/>
          <w:sz w:val="22"/>
        </w:rPr>
        <w:t>For the special September teal season and for all ducks: Possession limit is three times the daily bag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w:t>
      </w:r>
      <w:r>
        <w:rPr>
          <w:rFonts w:ascii="Times New Roman" w:hAnsi="Times New Roman"/>
          <w:b w:val="false"/>
          <w:i w:val="false"/>
          <w:color w:val="000000"/>
          <w:sz w:val="22"/>
        </w:rPr>
        <w:t> </w:t>
      </w:r>
      <w:r>
        <w:rPr>
          <w:rFonts w:ascii="Times New Roman" w:hAnsi="Times New Roman"/>
          <w:b w:val="false"/>
          <w:i/>
          <w:color w:val="000000"/>
          <w:sz w:val="22"/>
        </w:rPr>
        <w:t xml:space="preserve">Shooting hours. </w:t>
      </w:r>
      <w:r>
        <w:rPr>
          <w:rFonts w:ascii="Times New Roman" w:hAnsi="Times New Roman"/>
          <w:b w:val="false"/>
          <w:i w:val="false"/>
          <w:color w:val="000000"/>
          <w:sz w:val="22"/>
        </w:rPr>
        <w:t>For the special September teal season: Shooting hours are sunrise to sunset each day. For all ducks: Shooting hours are one-half hour before sunrise to sunset each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571—91.2</w:t>
      </w:r>
      <w:r>
        <w:rPr>
          <w:rFonts w:ascii="Times New Roman" w:hAnsi="Times New Roman"/>
          <w:b/>
          <w:i w:val="false"/>
          <w:color w:val="000000"/>
          <w:sz w:val="22"/>
        </w:rPr>
        <w:t xml:space="preserve">(481A) </w:t>
      </w:r>
      <w:r>
        <w:rPr>
          <w:rFonts w:ascii="Times New Roman" w:hAnsi="Times New Roman"/>
          <w:b/>
          <w:i w:val="false"/>
          <w:color w:val="000000"/>
          <w:sz w:val="22"/>
        </w:rPr>
        <w:t xml:space="preserve">Coots (split season).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w:t>
      </w:r>
      <w:r>
        <w:rPr>
          <w:rFonts w:ascii="Times New Roman" w:hAnsi="Times New Roman"/>
          <w:b w:val="false"/>
          <w:i w:val="false"/>
          <w:color w:val="000000"/>
          <w:sz w:val="22"/>
        </w:rPr>
        <w:t> </w:t>
      </w:r>
      <w:r>
        <w:rPr>
          <w:rFonts w:ascii="Times New Roman" w:hAnsi="Times New Roman"/>
          <w:b w:val="false"/>
          <w:i w:val="false"/>
          <w:color w:val="000000"/>
          <w:sz w:val="22"/>
        </w:rPr>
        <w:t>Same as duck season dates and shooting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91.2(2)</w:t>
      </w:r>
      <w:r>
        <w:rPr>
          <w:rFonts w:ascii="Times New Roman" w:hAnsi="Times New Roman"/>
          <w:b w:val="false"/>
          <w:i w:val="false"/>
          <w:color w:val="000000"/>
          <w:sz w:val="22"/>
        </w:rPr>
        <w:t> </w:t>
      </w:r>
      <w:r>
        <w:rPr>
          <w:rFonts w:ascii="Times New Roman" w:hAnsi="Times New Roman"/>
          <w:b w:val="false"/>
          <w:i w:val="false"/>
          <w:color w:val="000000"/>
          <w:sz w:val="22"/>
        </w:rPr>
        <w:t>Bag and possession limits. Daily bag limit is 15 and possession limit is three times the daily bag limit.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571—91.3</w:t>
      </w:r>
      <w:r>
        <w:rPr>
          <w:rFonts w:ascii="Times New Roman" w:hAnsi="Times New Roman"/>
          <w:b/>
          <w:i w:val="false"/>
          <w:color w:val="000000"/>
          <w:sz w:val="22"/>
        </w:rPr>
        <w:t xml:space="preserve">(481A) </w:t>
      </w:r>
      <w:r>
        <w:rPr>
          <w:rFonts w:ascii="Times New Roman" w:hAnsi="Times New Roman"/>
          <w:b/>
          <w:i w:val="false"/>
          <w:color w:val="000000"/>
          <w:sz w:val="22"/>
        </w:rPr>
        <w:t xml:space="preserve">Goose hunting.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91.3(1)</w:t>
      </w:r>
      <w:r>
        <w:rPr>
          <w:rFonts w:ascii="Times New Roman" w:hAnsi="Times New Roman"/>
          <w:b w:val="false"/>
          <w:i w:val="false"/>
          <w:color w:val="000000"/>
          <w:sz w:val="22"/>
        </w:rPr>
        <w:t> </w:t>
      </w:r>
      <w:r>
        <w:rPr>
          <w:rFonts w:ascii="Times New Roman" w:hAnsi="Times New Roman"/>
          <w:b w:val="false"/>
          <w:i/>
          <w:color w:val="000000"/>
          <w:sz w:val="22"/>
        </w:rPr>
        <w:t xml:space="preserve">Zone boundaries. </w:t>
      </w:r>
      <w:r>
        <w:rPr>
          <w:rFonts w:ascii="Times New Roman" w:hAnsi="Times New Roman"/>
          <w:b w:val="false"/>
          <w:i w:val="false"/>
          <w:color w:val="000000"/>
          <w:sz w:val="22"/>
        </w:rPr>
        <w:t>Zone boundaries are as specified in the November 2023 Waterfowl Hunting Map Book published on the department’s website (</w:t>
      </w:r>
      <w:hyperlink r:id="rId6">
        <w:r>
          <w:rPr>
            <w:rStyle w:val="Hyperlink"/>
            <w:rFonts w:ascii="Times New Roman" w:hAnsi="Times New Roman"/>
            <w:b w:val="false"/>
            <w:i w:val="false"/>
            <w:color w:val="000000"/>
            <w:sz w:val="22"/>
            <w:u w:val="single"/>
          </w:rPr>
          <w:t>www.iowadnr.gov/Hunting/Migratory-Game-Birds</w:t>
        </w:r>
      </w:hyperlink>
      <w:r>
        <w:rPr>
          <w:rFonts w:ascii="Times New Roman" w:hAnsi="Times New Roman"/>
          <w:b w:val="false"/>
          <w:i w:val="false"/>
          <w:color w:val="000000"/>
          <w:sz w:val="22"/>
        </w:rPr>
        <w:t>), chapter 1 “Waterfowl Hunting Zones.”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91.3(2)</w:t>
      </w:r>
      <w:r>
        <w:rPr>
          <w:rFonts w:ascii="Times New Roman" w:hAnsi="Times New Roman"/>
          <w:b w:val="false"/>
          <w:i w:val="false"/>
          <w:color w:val="000000"/>
          <w:sz w:val="22"/>
        </w:rPr>
        <w:t> </w:t>
      </w:r>
      <w:r>
        <w:rPr>
          <w:rFonts w:ascii="Times New Roman" w:hAnsi="Times New Roman"/>
          <w:b w:val="false"/>
          <w:i/>
          <w:color w:val="000000"/>
          <w:sz w:val="22"/>
        </w:rPr>
        <w:t xml:space="preserve">Season dates - north zone. </w:t>
      </w:r>
      <w:r>
        <w:rPr>
          <w:rFonts w:ascii="Times New Roman" w:hAnsi="Times New Roman"/>
          <w:b w:val="false"/>
          <w:i w:val="false"/>
          <w:color w:val="000000"/>
          <w:sz w:val="22"/>
        </w:rPr>
        <w:t>For all geese: The first segment of the regular goose season will begin on the Saturday nearest September 23 and run for a 16-day period. The second segment of the goose season will open on the Saturday nearest October 13 and continue for 53 consecutive days. The goose season will reopen on the Saturday nearest December 13 and remain continuously open until the total number of days used for goose hunting reaches 107.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91.3(3)</w:t>
      </w:r>
      <w:r>
        <w:rPr>
          <w:rFonts w:ascii="Times New Roman" w:hAnsi="Times New Roman"/>
          <w:b w:val="false"/>
          <w:i w:val="false"/>
          <w:color w:val="000000"/>
          <w:sz w:val="22"/>
        </w:rPr>
        <w:t> </w:t>
      </w:r>
      <w:r>
        <w:rPr>
          <w:rFonts w:ascii="Times New Roman" w:hAnsi="Times New Roman"/>
          <w:b w:val="false"/>
          <w:i/>
          <w:color w:val="000000"/>
          <w:sz w:val="22"/>
        </w:rPr>
        <w:t xml:space="preserve">Season dates - central zone. </w:t>
      </w:r>
      <w:r>
        <w:rPr>
          <w:rFonts w:ascii="Times New Roman" w:hAnsi="Times New Roman"/>
          <w:b w:val="false"/>
          <w:i w:val="false"/>
          <w:color w:val="000000"/>
          <w:sz w:val="22"/>
        </w:rPr>
        <w:t>For all geese: The first segment of the regular goose season will begin on the Saturday nearest September 30 and run for a 16-day period. The second segment of the goose season will open on the Saturday nearest October 20 and continue for 53 consecutive days. The goose season will reopen on the Saturday nearest December 20 and remain continuously open until the total number of days used for goose hunting reaches 107.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91.3(4)</w:t>
      </w:r>
      <w:r>
        <w:rPr>
          <w:rFonts w:ascii="Times New Roman" w:hAnsi="Times New Roman"/>
          <w:b w:val="false"/>
          <w:i w:val="false"/>
          <w:color w:val="000000"/>
          <w:sz w:val="22"/>
        </w:rPr>
        <w:t> </w:t>
      </w:r>
      <w:r>
        <w:rPr>
          <w:rFonts w:ascii="Times New Roman" w:hAnsi="Times New Roman"/>
          <w:b w:val="false"/>
          <w:i/>
          <w:color w:val="000000"/>
          <w:sz w:val="22"/>
        </w:rPr>
        <w:t xml:space="preserve">Season dates - south zone. </w:t>
      </w:r>
      <w:r>
        <w:rPr>
          <w:rFonts w:ascii="Times New Roman" w:hAnsi="Times New Roman"/>
          <w:b w:val="false"/>
          <w:i w:val="false"/>
          <w:color w:val="000000"/>
          <w:sz w:val="22"/>
        </w:rPr>
        <w:t>For all geese: The first segment of the regular goose season will begin on the Saturday nearest October 6 and run for a 16-day period. The second segment of the goose season will open on the Saturday nearest October 27 and continue for 53 consecutive days. The goose season will reopen on the Saturday nearest December 27 and remain continuously open until the total number of days used for goose hunting reaches 107.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91.3(5)</w:t>
      </w:r>
      <w:r>
        <w:rPr>
          <w:rFonts w:ascii="Times New Roman" w:hAnsi="Times New Roman"/>
          <w:b w:val="false"/>
          <w:i w:val="false"/>
          <w:color w:val="000000"/>
          <w:sz w:val="22"/>
        </w:rPr>
        <w:t> </w:t>
      </w:r>
      <w:r>
        <w:rPr>
          <w:rFonts w:ascii="Times New Roman" w:hAnsi="Times New Roman"/>
          <w:b w:val="false"/>
          <w:i/>
          <w:color w:val="000000"/>
          <w:sz w:val="22"/>
        </w:rPr>
        <w:t xml:space="preserve">Bag limit. </w:t>
      </w:r>
      <w:r>
        <w:rPr>
          <w:rFonts w:ascii="Times New Roman" w:hAnsi="Times New Roman"/>
          <w:b w:val="false"/>
          <w:i w:val="false"/>
          <w:color w:val="000000"/>
          <w:sz w:val="22"/>
        </w:rPr>
        <w:t>The daily bag limit for dark geese (Canada geese, white-fronted geese, brant and any other geese that are not light geese) is five and may include no more than two Canada geese during the first segment of the statewide season and no more than three Canada geese during the remainder of the statewide season. The daily bag limit for light geese (white and blue-phase snow geese and Ross’ geese)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91.3(6)</w:t>
      </w:r>
      <w:r>
        <w:rPr>
          <w:rFonts w:ascii="Times New Roman" w:hAnsi="Times New Roman"/>
          <w:b w:val="false"/>
          <w:i w:val="false"/>
          <w:color w:val="000000"/>
          <w:sz w:val="22"/>
        </w:rPr>
        <w:t> </w:t>
      </w:r>
      <w:r>
        <w:rPr>
          <w:rFonts w:ascii="Times New Roman" w:hAnsi="Times New Roman"/>
          <w:b w:val="false"/>
          <w:i/>
          <w:color w:val="000000"/>
          <w:sz w:val="22"/>
        </w:rPr>
        <w:t xml:space="preserve">Possession limit. </w:t>
      </w:r>
      <w:r>
        <w:rPr>
          <w:rFonts w:ascii="Times New Roman" w:hAnsi="Times New Roman"/>
          <w:b w:val="false"/>
          <w:i w:val="false"/>
          <w:color w:val="000000"/>
          <w:sz w:val="22"/>
        </w:rPr>
        <w:t>The possession limit is three times the daily bag limit for Canada geese, brant and white-fronted geese. There is no possession limit for light geese.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91.3(7)</w:t>
      </w:r>
      <w:r>
        <w:rPr>
          <w:rFonts w:ascii="Times New Roman" w:hAnsi="Times New Roman"/>
          <w:b w:val="false"/>
          <w:i w:val="false"/>
          <w:color w:val="000000"/>
          <w:sz w:val="22"/>
        </w:rPr>
        <w:t> </w:t>
      </w:r>
      <w:r>
        <w:rPr>
          <w:rFonts w:ascii="Times New Roman" w:hAnsi="Times New Roman"/>
          <w:b w:val="false"/>
          <w:i/>
          <w:color w:val="000000"/>
          <w:sz w:val="22"/>
        </w:rPr>
        <w:t xml:space="preserve">Shooting hours. </w:t>
      </w:r>
      <w:r>
        <w:rPr>
          <w:rFonts w:ascii="Times New Roman" w:hAnsi="Times New Roman"/>
          <w:b w:val="false"/>
          <w:i w:val="false"/>
          <w:color w:val="000000"/>
          <w:sz w:val="22"/>
        </w:rPr>
        <w:t>Shooting hours are one-half hour before sunrise until sunset each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91.3(8)</w:t>
      </w:r>
      <w:r>
        <w:rPr>
          <w:rFonts w:ascii="Times New Roman" w:hAnsi="Times New Roman"/>
          <w:b w:val="false"/>
          <w:i w:val="false"/>
          <w:color w:val="000000"/>
          <w:sz w:val="22"/>
        </w:rPr>
        <w:t> </w:t>
      </w:r>
      <w:r>
        <w:rPr>
          <w:rFonts w:ascii="Times New Roman" w:hAnsi="Times New Roman"/>
          <w:b w:val="false"/>
          <w:i/>
          <w:color w:val="000000"/>
          <w:sz w:val="22"/>
        </w:rPr>
        <w:t xml:space="preserve">Light goose conservation order season. </w:t>
      </w:r>
      <w:r>
        <w:rPr>
          <w:rFonts w:ascii="Times New Roman" w:hAnsi="Times New Roman"/>
          <w:b w:val="false"/>
          <w:i w:val="false"/>
          <w:color w:val="000000"/>
          <w:sz w:val="22"/>
        </w:rPr>
        <w:t>Only light geese (white and blue-phase snow geese and Ross’ geese) may be taken under a conservation order from the U.S. Fish and Wildlife Service beginning the day after the regular goose season closes and continuing until May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Zone boundaries. </w:t>
      </w:r>
      <w:r>
        <w:rPr>
          <w:rFonts w:ascii="Times New Roman" w:hAnsi="Times New Roman"/>
          <w:b w:val="false"/>
          <w:i w:val="false"/>
          <w:color w:val="000000"/>
          <w:sz w:val="22"/>
        </w:rPr>
        <w:t>Statewide.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Shooting hours. </w:t>
      </w:r>
      <w:r>
        <w:rPr>
          <w:rFonts w:ascii="Times New Roman" w:hAnsi="Times New Roman"/>
          <w:b w:val="false"/>
          <w:i w:val="false"/>
          <w:color w:val="000000"/>
          <w:sz w:val="22"/>
        </w:rPr>
        <w:t>One-half hour before sunrise to one-half hour after sunset.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Bag limit. </w:t>
      </w:r>
      <w:r>
        <w:rPr>
          <w:rFonts w:ascii="Times New Roman" w:hAnsi="Times New Roman"/>
          <w:b w:val="false"/>
          <w:i w:val="false"/>
          <w:color w:val="000000"/>
          <w:sz w:val="22"/>
        </w:rPr>
        <w:t>No bag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Possession limit. </w:t>
      </w:r>
      <w:r>
        <w:rPr>
          <w:rFonts w:ascii="Times New Roman" w:hAnsi="Times New Roman"/>
          <w:b w:val="false"/>
          <w:i w:val="false"/>
          <w:color w:val="000000"/>
          <w:sz w:val="22"/>
        </w:rPr>
        <w:t>No possession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regulations. </w:t>
      </w:r>
      <w:r>
        <w:rPr>
          <w:rFonts w:ascii="Times New Roman" w:hAnsi="Times New Roman"/>
          <w:b w:val="false"/>
          <w:i w:val="false"/>
          <w:color w:val="000000"/>
          <w:sz w:val="22"/>
        </w:rPr>
        <w:t>Methods of take approved by the U.S. Fish and Wildlife Service for hunting light geese during the conservation order season shall be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91.3(9)</w:t>
      </w:r>
      <w:r>
        <w:rPr>
          <w:rFonts w:ascii="Times New Roman" w:hAnsi="Times New Roman"/>
          <w:b w:val="false"/>
          <w:i w:val="false"/>
          <w:color w:val="000000"/>
          <w:sz w:val="22"/>
        </w:rPr>
        <w:t> </w:t>
      </w:r>
      <w:r>
        <w:rPr>
          <w:rFonts w:ascii="Times New Roman" w:hAnsi="Times New Roman"/>
          <w:b w:val="false"/>
          <w:i/>
          <w:color w:val="000000"/>
          <w:sz w:val="22"/>
        </w:rPr>
        <w:t xml:space="preserve">Metropolitan goose hunting seasons and specified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Season dates. </w:t>
      </w:r>
      <w:r>
        <w:rPr>
          <w:rFonts w:ascii="Times New Roman" w:hAnsi="Times New Roman"/>
          <w:b w:val="false"/>
          <w:i w:val="false"/>
          <w:color w:val="000000"/>
          <w:sz w:val="22"/>
        </w:rPr>
        <w:t>The second Saturday in September for nine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Bag limit. </w:t>
      </w:r>
      <w:r>
        <w:rPr>
          <w:rFonts w:ascii="Times New Roman" w:hAnsi="Times New Roman"/>
          <w:b w:val="false"/>
          <w:i w:val="false"/>
          <w:color w:val="000000"/>
          <w:sz w:val="22"/>
        </w:rPr>
        <w:t>Daily bag limit is five Canada geese.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Possession limit. </w:t>
      </w:r>
      <w:r>
        <w:rPr>
          <w:rFonts w:ascii="Times New Roman" w:hAnsi="Times New Roman"/>
          <w:b w:val="false"/>
          <w:i w:val="false"/>
          <w:color w:val="000000"/>
          <w:sz w:val="22"/>
        </w:rPr>
        <w:t>Three times the daily bag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 Specified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Cedar Rapids/Iowa City. Areas are as specified in the November 2023 Waterfowl Hunting Map Book published on the department’s website (</w:t>
      </w:r>
      <w:hyperlink r:id="rId7">
        <w:r>
          <w:rPr>
            <w:rStyle w:val="Hyperlink"/>
            <w:rFonts w:ascii="Times New Roman" w:hAnsi="Times New Roman"/>
            <w:b w:val="false"/>
            <w:i w:val="false"/>
            <w:color w:val="000000"/>
            <w:sz w:val="22"/>
            <w:u w:val="single"/>
          </w:rPr>
          <w:t>www.iowadnr.gov/Hunting/Migratory-Game-Birds</w:t>
        </w:r>
      </w:hyperlink>
      <w:r>
        <w:rPr>
          <w:rFonts w:ascii="Times New Roman" w:hAnsi="Times New Roman"/>
          <w:b w:val="false"/>
          <w:i w:val="false"/>
          <w:color w:val="000000"/>
          <w:sz w:val="22"/>
        </w:rPr>
        <w:t>), chapter 2 “Metropolitan Goose Hunting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 Moines. Areas are as specified in the November 2023 Waterfowl Hunting Map Book published on the department’s website (</w:t>
      </w:r>
      <w:hyperlink r:id="rId8">
        <w:r>
          <w:rPr>
            <w:rStyle w:val="Hyperlink"/>
            <w:rFonts w:ascii="Times New Roman" w:hAnsi="Times New Roman"/>
            <w:b w:val="false"/>
            <w:i w:val="false"/>
            <w:color w:val="000000"/>
            <w:sz w:val="22"/>
            <w:u w:val="single"/>
          </w:rPr>
          <w:t>www.iowadnr.gov/Hunting/Migratory-Game-Birds</w:t>
        </w:r>
      </w:hyperlink>
      <w:r>
        <w:rPr>
          <w:rFonts w:ascii="Times New Roman" w:hAnsi="Times New Roman"/>
          <w:b w:val="false"/>
          <w:i w:val="false"/>
          <w:color w:val="000000"/>
          <w:sz w:val="22"/>
        </w:rPr>
        <w:t>), chapter 2 “Metropolitan Goose Hunting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Cedar Falls/Waterloo. Areas are as specified in the November 2023 Waterfowl Hunting Map Book published on the department’s website (</w:t>
      </w:r>
      <w:hyperlink r:id="rId9">
        <w:r>
          <w:rPr>
            <w:rStyle w:val="Hyperlink"/>
            <w:rFonts w:ascii="Times New Roman" w:hAnsi="Times New Roman"/>
            <w:b w:val="false"/>
            <w:i w:val="false"/>
            <w:color w:val="000000"/>
            <w:sz w:val="22"/>
            <w:u w:val="single"/>
          </w:rPr>
          <w:t>www.iowadnr.gov/Hunting/Migratory-Game-Birds</w:t>
        </w:r>
      </w:hyperlink>
      <w:r>
        <w:rPr>
          <w:rFonts w:ascii="Times New Roman" w:hAnsi="Times New Roman"/>
          <w:b w:val="false"/>
          <w:i w:val="false"/>
          <w:color w:val="000000"/>
          <w:sz w:val="22"/>
        </w:rPr>
        <w:t>), chapter 2 “Metropolitan Goose Hunting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571—91.4</w:t>
      </w:r>
      <w:r>
        <w:rPr>
          <w:rFonts w:ascii="Times New Roman" w:hAnsi="Times New Roman"/>
          <w:b/>
          <w:i w:val="false"/>
          <w:color w:val="000000"/>
          <w:sz w:val="22"/>
        </w:rPr>
        <w:t xml:space="preserve">(481A) </w:t>
      </w:r>
      <w:r>
        <w:rPr>
          <w:rFonts w:ascii="Times New Roman" w:hAnsi="Times New Roman"/>
          <w:b/>
          <w:i w:val="false"/>
          <w:color w:val="000000"/>
          <w:sz w:val="22"/>
        </w:rPr>
        <w:t xml:space="preserve">Closed areas. </w:t>
      </w:r>
      <w:r>
        <w:rPr>
          <w:rFonts w:ascii="Times New Roman" w:hAnsi="Times New Roman"/>
          <w:b w:val="false"/>
          <w:i w:val="false"/>
          <w:color w:val="000000"/>
          <w:sz w:val="22"/>
        </w:rPr>
        <w:t>Waterfowl and coots may be hunted statewide except in specific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91.4(1)</w:t>
      </w:r>
      <w:r>
        <w:rPr>
          <w:rFonts w:ascii="Times New Roman" w:hAnsi="Times New Roman"/>
          <w:b w:val="false"/>
          <w:i w:val="false"/>
          <w:color w:val="000000"/>
          <w:sz w:val="22"/>
        </w:rPr>
        <w:t> </w:t>
      </w:r>
      <w:r>
        <w:rPr>
          <w:rFonts w:ascii="Times New Roman" w:hAnsi="Times New Roman"/>
          <w:b w:val="false"/>
          <w:i/>
          <w:color w:val="000000"/>
          <w:sz w:val="22"/>
        </w:rPr>
        <w:t xml:space="preserve">Waterfowl and coots. </w:t>
      </w:r>
      <w:r>
        <w:rPr>
          <w:rFonts w:ascii="Times New Roman" w:hAnsi="Times New Roman"/>
          <w:b w:val="false"/>
          <w:i w:val="false"/>
          <w:color w:val="000000"/>
          <w:sz w:val="22"/>
        </w:rPr>
        <w:t>There shall be no open season for ducks, coots and geese as specified in the November 2023 Waterfowl Hunting Map Book published on the department’s website (</w:t>
      </w:r>
      <w:hyperlink r:id="rId10">
        <w:r>
          <w:rPr>
            <w:rStyle w:val="Hyperlink"/>
            <w:rFonts w:ascii="Times New Roman" w:hAnsi="Times New Roman"/>
            <w:b w:val="false"/>
            <w:i w:val="false"/>
            <w:color w:val="000000"/>
            <w:sz w:val="22"/>
            <w:u w:val="single"/>
          </w:rPr>
          <w:t>www.iowadnr.gov/Hunting/Migratory-Game-Birds</w:t>
        </w:r>
      </w:hyperlink>
      <w:r>
        <w:rPr>
          <w:rFonts w:ascii="Times New Roman" w:hAnsi="Times New Roman"/>
          <w:b w:val="false"/>
          <w:i w:val="false"/>
          <w:color w:val="000000"/>
          <w:sz w:val="22"/>
        </w:rPr>
        <w:t>), chapter 3 “Areas Closed to Waterfowl Hunting.”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91.4(2)</w:t>
      </w:r>
      <w:r>
        <w:rPr>
          <w:rFonts w:ascii="Times New Roman" w:hAnsi="Times New Roman"/>
          <w:b w:val="false"/>
          <w:i w:val="false"/>
          <w:color w:val="000000"/>
          <w:sz w:val="22"/>
        </w:rPr>
        <w:t> </w:t>
      </w:r>
      <w:r>
        <w:rPr>
          <w:rFonts w:ascii="Times New Roman" w:hAnsi="Times New Roman"/>
          <w:b w:val="false"/>
          <w:i/>
          <w:color w:val="000000"/>
          <w:sz w:val="22"/>
        </w:rPr>
        <w:t xml:space="preserve">Canada geese. </w:t>
      </w:r>
      <w:r>
        <w:rPr>
          <w:rFonts w:ascii="Times New Roman" w:hAnsi="Times New Roman"/>
          <w:b w:val="false"/>
          <w:i w:val="false"/>
          <w:color w:val="000000"/>
          <w:sz w:val="22"/>
        </w:rPr>
        <w:t>There shall be no open season on Canada geese in certain areas described as specified in the November 2023 Waterfowl Hunting Map Book published on the department’s website (</w:t>
      </w:r>
      <w:hyperlink r:id="rId11">
        <w:r>
          <w:rPr>
            <w:rStyle w:val="Hyperlink"/>
            <w:rFonts w:ascii="Times New Roman" w:hAnsi="Times New Roman"/>
            <w:b w:val="false"/>
            <w:i w:val="false"/>
            <w:color w:val="000000"/>
            <w:sz w:val="22"/>
            <w:u w:val="single"/>
          </w:rPr>
          <w:t>www.iowadnr.gov/Hunting/Migratory-Game-Birds</w:t>
        </w:r>
      </w:hyperlink>
      <w:r>
        <w:rPr>
          <w:rFonts w:ascii="Times New Roman" w:hAnsi="Times New Roman"/>
          <w:b w:val="false"/>
          <w:i w:val="false"/>
          <w:color w:val="000000"/>
          <w:sz w:val="22"/>
        </w:rPr>
        <w:t xml:space="preserve">), chapter 4 “Areas Closed to Canada Goose Hunting.”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571—91.5</w:t>
      </w:r>
      <w:r>
        <w:rPr>
          <w:rFonts w:ascii="Times New Roman" w:hAnsi="Times New Roman"/>
          <w:b/>
          <w:i w:val="false"/>
          <w:color w:val="000000"/>
          <w:sz w:val="22"/>
        </w:rPr>
        <w:t xml:space="preserve">(481A) </w:t>
      </w:r>
      <w:r>
        <w:rPr>
          <w:rFonts w:ascii="Times New Roman" w:hAnsi="Times New Roman"/>
          <w:b/>
          <w:i w:val="false"/>
          <w:color w:val="000000"/>
          <w:sz w:val="22"/>
        </w:rPr>
        <w:t xml:space="preserve">Canada goose hunting within closed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91.5(1)</w:t>
      </w:r>
      <w:r>
        <w:rPr>
          <w:rFonts w:ascii="Times New Roman" w:hAnsi="Times New Roman"/>
          <w:b w:val="false"/>
          <w:i w:val="false"/>
          <w:color w:val="000000"/>
          <w:sz w:val="22"/>
        </w:rPr>
        <w:t> </w:t>
      </w:r>
      <w:r>
        <w:rPr>
          <w:rFonts w:ascii="Times New Roman" w:hAnsi="Times New Roman"/>
          <w:b w:val="false"/>
          <w:i/>
          <w:color w:val="000000"/>
          <w:sz w:val="22"/>
        </w:rPr>
        <w:t xml:space="preserve">Closed areas. </w:t>
      </w:r>
      <w:r>
        <w:rPr>
          <w:rFonts w:ascii="Times New Roman" w:hAnsi="Times New Roman"/>
          <w:b w:val="false"/>
          <w:i w:val="false"/>
          <w:color w:val="000000"/>
          <w:sz w:val="22"/>
        </w:rPr>
        <w:t xml:space="preserve">All areas are as described in subrule </w:t>
      </w:r>
      <w:hyperlink r:id="rId12">
        <w:r>
          <w:rPr>
            <w:rStyle w:val="Hyperlink"/>
            <w:rFonts w:ascii="Times New Roman" w:hAnsi="Times New Roman"/>
            <w:b w:val="false"/>
            <w:i w:val="false"/>
            <w:color w:val="000000"/>
            <w:sz w:val="22"/>
          </w:rPr>
          <w:t>91.4(2)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hunting of Canada geese in closed areas is being undertaken to allow landowners or tenants who farm in these closed areas to hunt Canada geese on land they own or farm in the closed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Landowners and tenants who own or farm land in the closed areas will be permitted to hunt Canada geese in the closed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Landowners and those individuals named on the permit according to the criteria specified in subparagraph </w:t>
      </w:r>
      <w:hyperlink r:id="rId13">
        <w:r>
          <w:rPr>
            <w:rStyle w:val="Hyperlink"/>
            <w:rFonts w:ascii="Times New Roman" w:hAnsi="Times New Roman"/>
            <w:b w:val="false"/>
            <w:i w:val="false"/>
            <w:color w:val="000000"/>
            <w:sz w:val="22"/>
          </w:rPr>
          <w:t>91.5(1)</w:t>
        </w:r>
      </w:hyperlink>
      <w:r>
        <w:rPr>
          <w:rFonts w:ascii="Times New Roman" w:hAnsi="Times New Roman"/>
          <w:b w:val="false"/>
          <w:i/>
          <w:color w:val="000000"/>
          <w:sz w:val="22"/>
        </w:rPr>
        <w:t>“b”</w:t>
      </w:r>
      <w:r>
        <w:rPr>
          <w:rFonts w:ascii="Times New Roman" w:hAnsi="Times New Roman"/>
          <w:b w:val="false"/>
          <w:i w:val="false"/>
          <w:color w:val="000000"/>
          <w:sz w:val="22"/>
        </w:rPr>
        <w:t xml:space="preserve">(9) will be permitted to hunt in the closed area. Tenants may obtain a permit instead of the landowner if the landowner transfers this privilege to the tenant. Landowners may choose, at their discretion, to include the tenant and those individuals of the tenant’s family specified in subparagraph </w:t>
      </w:r>
      <w:hyperlink r:id="rId14">
        <w:r>
          <w:rPr>
            <w:rStyle w:val="Hyperlink"/>
            <w:rFonts w:ascii="Times New Roman" w:hAnsi="Times New Roman"/>
            <w:b w:val="false"/>
            <w:i w:val="false"/>
            <w:color w:val="000000"/>
            <w:sz w:val="22"/>
          </w:rPr>
          <w:t>91.5(1)</w:t>
        </w:r>
      </w:hyperlink>
      <w:r>
        <w:rPr>
          <w:rFonts w:ascii="Times New Roman" w:hAnsi="Times New Roman"/>
          <w:b w:val="false"/>
          <w:i/>
          <w:color w:val="000000"/>
          <w:sz w:val="22"/>
        </w:rPr>
        <w:t>“b”</w:t>
      </w:r>
      <w:r>
        <w:rPr>
          <w:rFonts w:ascii="Times New Roman" w:hAnsi="Times New Roman"/>
          <w:b w:val="false"/>
          <w:i w:val="false"/>
          <w:color w:val="000000"/>
          <w:sz w:val="22"/>
        </w:rPr>
        <w:t>(9) on their permit. Assigned permits must be signed by both the permittee and the landowner assigning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Landowners must hold title to, or tenants must farm by a rent/share/lease arrangement, at least eight acres inside the closed area to qualify for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more than one permit will be issued to corporations, estates, or other legal associations that jointly own land in the closed area. No individual may obtain more than two permits nor may an individual be named as a participant on more than two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holding a permit can hunt with those individuals named on their permit as specified in subparagraph </w:t>
      </w:r>
      <w:hyperlink r:id="rId15">
        <w:r>
          <w:rPr>
            <w:rStyle w:val="Hyperlink"/>
            <w:rFonts w:ascii="Times New Roman" w:hAnsi="Times New Roman"/>
            <w:b w:val="false"/>
            <w:i w:val="false"/>
            <w:color w:val="000000"/>
            <w:sz w:val="22"/>
          </w:rPr>
          <w:t>91.5(1)</w:t>
        </w:r>
      </w:hyperlink>
      <w:r>
        <w:rPr>
          <w:rFonts w:ascii="Times New Roman" w:hAnsi="Times New Roman"/>
          <w:b w:val="false"/>
          <w:i/>
          <w:color w:val="000000"/>
          <w:sz w:val="22"/>
        </w:rPr>
        <w:t>“b”</w:t>
      </w:r>
      <w:r>
        <w:rPr>
          <w:rFonts w:ascii="Times New Roman" w:hAnsi="Times New Roman"/>
          <w:b w:val="false"/>
          <w:i w:val="false"/>
          <w:color w:val="000000"/>
          <w:sz w:val="22"/>
        </w:rPr>
        <w:t>(9) on any property they own (or rent/share/lease in the case of tenants) in the closed area provided their activity complies with all other regulations governing hunting. Nothing herein shall permit the hunting of Canada geese on public property within the closed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Persons hunting under this permit must adhere to all municipal, county, state and federal regulations that are applicable to hunting and specifically applicable to Canada goose hunting. Hunting as authorized by this rule shall not be used to stir or rally waterfowl.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Hunting within the closed area will be allowed through October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Permit holders will be allowed to take eight Canada geese per year in the closed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Permits will be issued only to individual landowners or tenants; however, permit holders must specify, when requesting a permit, the names of all other individuals qualified to hunt on the permit. Individuals qualified to hunt on the permit shall include the landowners or tenants and their spouses, domestic partners, parents, grandparents, children, children’s spouses, grandchildren, siblings and siblings’ spouses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Permits can be obtained from the local conservation officer or wildlife unit headquarters within the closed area no later than 48 hours before the first Canada goose season opens. The permit will be issued to an individual landowner or tenant and must list the names of all individuals who may hunt with the permittee. The permit will also contain a description of the property covered by the permit. The permit must be carried by a member of the hunting party whose name is listed on the permit. Conservation officers will keep a record of permittees and locations of properties that are covered by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Eight consecutively numbered tags will be issued with each permit. Geese will be tagged around the leg immediately upon being reduced to possession and will remain tagged until delivered to the person’s abode.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one may attempt to take Canada geese under this permit unless the person possesses an unused tag for the current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landowner or tenant shall be responsible or liable for violations committed by other individuals listed on the permit issued to the landowner or tenant.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571—91.6</w:t>
      </w:r>
      <w:r>
        <w:rPr>
          <w:rFonts w:ascii="Times New Roman" w:hAnsi="Times New Roman"/>
          <w:b/>
          <w:i w:val="false"/>
          <w:color w:val="000000"/>
          <w:sz w:val="22"/>
        </w:rPr>
        <w:t xml:space="preserve">(481A,483A) </w:t>
      </w:r>
      <w:r>
        <w:rPr>
          <w:rFonts w:ascii="Times New Roman" w:hAnsi="Times New Roman"/>
          <w:b/>
          <w:i w:val="false"/>
          <w:color w:val="000000"/>
          <w:sz w:val="22"/>
        </w:rPr>
        <w:t xml:space="preserve">Youth waterfowl hunt. </w:t>
      </w:r>
      <w:r>
        <w:rPr>
          <w:rFonts w:ascii="Times New Roman" w:hAnsi="Times New Roman"/>
          <w:b w:val="false"/>
          <w:i w:val="false"/>
          <w:color w:val="000000"/>
          <w:sz w:val="22"/>
        </w:rPr>
        <w:t xml:space="preserve">A special youth waterfowl hunt will be held the weekend before the first segment of the regular duck season in each duck hunting zone. Youth hunters must be residents of Iowa as defined in Iowa Code section </w:t>
      </w:r>
      <w:hyperlink r:id="rId16">
        <w:r>
          <w:rPr>
            <w:rStyle w:val="Hyperlink"/>
            <w:rFonts w:ascii="Times New Roman" w:hAnsi="Times New Roman"/>
            <w:b w:val="false"/>
            <w:i w:val="false"/>
            <w:color w:val="000000"/>
            <w:sz w:val="22"/>
          </w:rPr>
          <w:t>483A.1A</w:t>
        </w:r>
      </w:hyperlink>
      <w:r>
        <w:rPr>
          <w:rFonts w:ascii="Times New Roman" w:hAnsi="Times New Roman"/>
          <w:b w:val="false"/>
          <w:i w:val="false"/>
          <w:color w:val="000000"/>
          <w:sz w:val="22"/>
        </w:rPr>
        <w:t xml:space="preserve"> and less than 16 years old. Each youth hunter must be accompanied by an adult 18 years old or older. The youth hunter does not need to have a hunting license or stamps. The adult must have a valid hunting license and habitat stamp if normally required to have them to hunt and a state waterfowl stamp. Only the youth hunter may shoot ducks and coots. The adult may hunt for any game birds for which the season is open. The daily bag and possession limits are the same as for the regular waterfowl season, as defined in rule </w:t>
      </w:r>
      <w:hyperlink r:id="rId17">
        <w:r>
          <w:rPr>
            <w:rStyle w:val="Hyperlink"/>
            <w:rFonts w:ascii="Times New Roman" w:hAnsi="Times New Roman"/>
            <w:b w:val="false"/>
            <w:i w:val="false"/>
            <w:color w:val="000000"/>
            <w:sz w:val="22"/>
          </w:rPr>
          <w:t>571—91.1</w:t>
        </w:r>
      </w:hyperlink>
      <w:r>
        <w:rPr>
          <w:rFonts w:ascii="Times New Roman" w:hAnsi="Times New Roman"/>
          <w:b w:val="false"/>
          <w:i w:val="false"/>
          <w:color w:val="000000"/>
          <w:sz w:val="22"/>
        </w:rPr>
        <w:t>(481A). All other hunting regulations in effect for the regular waterfowl season apply to the youth hunt.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8">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481A.48(2)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483A.2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8/29/75]</w:t>
      </w:r>
    </w:p>
    <w:p>
      <w:pPr>
        <w:spacing w:before="0" w:after="0"/>
        <w:ind w:left="120"/>
        <w:jc w:val="center"/>
      </w:pPr>
      <w:r>
        <w:rPr>
          <w:rFonts w:ascii="Times New Roman" w:hAnsi="Times New Roman"/>
          <w:b w:val="false"/>
          <w:i w:val="false"/>
          <w:color w:val="000000"/>
          <w:sz w:val="21"/>
        </w:rPr>
        <w:t>[Filed emergency 9/2/76—published 9/22/76, effective 9/22/76]</w:t>
      </w:r>
    </w:p>
    <w:p>
      <w:pPr>
        <w:spacing w:before="0" w:after="0"/>
        <w:ind w:left="120"/>
        <w:jc w:val="center"/>
      </w:pPr>
      <w:r>
        <w:rPr>
          <w:rFonts w:ascii="Times New Roman" w:hAnsi="Times New Roman"/>
          <w:b w:val="false"/>
          <w:i w:val="false"/>
          <w:color w:val="000000"/>
          <w:sz w:val="21"/>
        </w:rPr>
        <w:t>[Filed emergency 9/1/77—published 9/21/77, effective 9/1/77]</w:t>
      </w:r>
    </w:p>
    <w:p>
      <w:pPr>
        <w:spacing w:before="0" w:after="0"/>
        <w:ind w:left="120"/>
        <w:jc w:val="center"/>
      </w:pPr>
      <w:r>
        <w:rPr>
          <w:rFonts w:ascii="Times New Roman" w:hAnsi="Times New Roman"/>
          <w:b w:val="false"/>
          <w:i w:val="false"/>
          <w:color w:val="000000"/>
          <w:sz w:val="21"/>
        </w:rPr>
        <w:t>[Filed emergency 8/30/78 after Notice of 3/8/78—published 9/20/78, effective 8/30/78]</w:t>
      </w:r>
    </w:p>
    <w:p>
      <w:pPr>
        <w:spacing w:before="0" w:after="0"/>
        <w:ind w:left="120"/>
        <w:jc w:val="center"/>
      </w:pPr>
      <w:r>
        <w:rPr>
          <w:rFonts w:ascii="Times New Roman" w:hAnsi="Times New Roman"/>
          <w:b w:val="false"/>
          <w:i w:val="false"/>
          <w:color w:val="000000"/>
          <w:sz w:val="21"/>
        </w:rPr>
        <w:t>[Filed emergency 8/29/79 after Notice of 3/7/79—published 9/19/79, effective 8/29/79]</w:t>
      </w:r>
    </w:p>
    <w:p>
      <w:pPr>
        <w:spacing w:before="0" w:after="0"/>
        <w:ind w:left="120"/>
        <w:jc w:val="center"/>
      </w:pPr>
      <w:r>
        <w:rPr>
          <w:rFonts w:ascii="Times New Roman" w:hAnsi="Times New Roman"/>
          <w:b w:val="false"/>
          <w:i w:val="false"/>
          <w:color w:val="000000"/>
          <w:sz w:val="21"/>
        </w:rPr>
        <w:t>[Filed emergency after Notice 8/29/80, Notice 3/5/80—published 9/17/80, effective 8/29/80]</w:t>
      </w:r>
    </w:p>
    <w:p>
      <w:pPr>
        <w:spacing w:before="0" w:after="0"/>
        <w:ind w:left="120"/>
        <w:jc w:val="center"/>
      </w:pPr>
      <w:r>
        <w:rPr>
          <w:rFonts w:ascii="Times New Roman" w:hAnsi="Times New Roman"/>
          <w:b w:val="false"/>
          <w:i w:val="false"/>
          <w:color w:val="000000"/>
          <w:sz w:val="21"/>
        </w:rPr>
        <w:t>[Filed emergency after Notice 9/4/81, Notice 3/4/81—published 9/30/81, effective 9/4/81]</w:t>
      </w:r>
    </w:p>
    <w:p>
      <w:pPr>
        <w:spacing w:before="0" w:after="0"/>
        <w:ind w:left="120"/>
        <w:jc w:val="center"/>
      </w:pPr>
      <w:r>
        <w:rPr>
          <w:rFonts w:ascii="Times New Roman" w:hAnsi="Times New Roman"/>
          <w:b w:val="false"/>
          <w:i w:val="false"/>
          <w:color w:val="000000"/>
          <w:sz w:val="21"/>
        </w:rPr>
        <w:t>[Filed emergency after Notice 9/2/82, Notice 3/3/82—published 9/29/82, effective 9/3/82]</w:t>
      </w:r>
    </w:p>
    <w:p>
      <w:pPr>
        <w:spacing w:before="0" w:after="0"/>
        <w:ind w:left="120"/>
        <w:jc w:val="center"/>
      </w:pPr>
      <w:r>
        <w:rPr>
          <w:rFonts w:ascii="Times New Roman" w:hAnsi="Times New Roman"/>
          <w:b w:val="false"/>
          <w:i w:val="false"/>
          <w:color w:val="000000"/>
          <w:sz w:val="21"/>
        </w:rPr>
        <w:t>[Filed emergency after Notice 9/1/83, Notice 3/30/83—published 9/28/83, effective 9/2/83]</w:t>
      </w:r>
    </w:p>
    <w:p>
      <w:pPr>
        <w:spacing w:before="0" w:after="0"/>
        <w:ind w:left="120"/>
        <w:jc w:val="center"/>
      </w:pPr>
      <w:r>
        <w:rPr>
          <w:rFonts w:ascii="Times New Roman" w:hAnsi="Times New Roman"/>
          <w:b w:val="false"/>
          <w:i w:val="false"/>
          <w:color w:val="000000"/>
          <w:sz w:val="21"/>
        </w:rPr>
        <w:t>[Filed emergency after Notice 9/7/84, Notice 2/29/84—published 9/26/84, effective 9/7/84]</w:t>
      </w:r>
    </w:p>
    <w:p>
      <w:pPr>
        <w:spacing w:before="0" w:after="0"/>
        <w:ind w:left="120"/>
        <w:jc w:val="center"/>
      </w:pPr>
      <w:r>
        <w:rPr>
          <w:rFonts w:ascii="Times New Roman" w:hAnsi="Times New Roman"/>
          <w:b w:val="false"/>
          <w:i w:val="false"/>
          <w:color w:val="000000"/>
          <w:sz w:val="21"/>
        </w:rPr>
        <w:t>[Filed emergency after Notice 9/5/85, Notice 2/27/85—published 9/25/85, effective 9/6/85]</w:t>
      </w:r>
    </w:p>
    <w:p>
      <w:pPr>
        <w:spacing w:before="0" w:after="0"/>
        <w:ind w:left="120"/>
        <w:jc w:val="center"/>
      </w:pPr>
      <w:r>
        <w:rPr>
          <w:rFonts w:ascii="Times New Roman" w:hAnsi="Times New Roman"/>
          <w:b w:val="false"/>
          <w:i w:val="false"/>
          <w:color w:val="000000"/>
          <w:sz w:val="21"/>
        </w:rPr>
        <w:t>[Filed emergency 9/3/86 after Notice 2/26/86—published 9/24/86, effective 9/5/86]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emergency after Notice 9/4/87, Notice 3/11/87—published 9/23/87, effective 9/4/87]</w:t>
      </w:r>
    </w:p>
    <w:p>
      <w:pPr>
        <w:spacing w:before="0" w:after="0"/>
        <w:ind w:left="120"/>
        <w:jc w:val="center"/>
      </w:pPr>
      <w:r>
        <w:rPr>
          <w:rFonts w:ascii="Times New Roman" w:hAnsi="Times New Roman"/>
          <w:b w:val="false"/>
          <w:i w:val="false"/>
          <w:color w:val="000000"/>
          <w:sz w:val="21"/>
        </w:rPr>
        <w:t>[Filed emergency 9/2/88 after Notice 2/24/88—published 9/21/88, effective 9/2/88]</w:t>
      </w:r>
    </w:p>
    <w:p>
      <w:pPr>
        <w:spacing w:before="0" w:after="0"/>
        <w:ind w:left="120"/>
        <w:jc w:val="center"/>
      </w:pPr>
      <w:r>
        <w:rPr>
          <w:rFonts w:ascii="Times New Roman" w:hAnsi="Times New Roman"/>
          <w:b w:val="false"/>
          <w:i w:val="false"/>
          <w:color w:val="000000"/>
          <w:sz w:val="21"/>
        </w:rPr>
        <w:t>[Filed emergency 10/12/88—published 11/2/88, effective 10/12/88]</w:t>
      </w:r>
    </w:p>
    <w:p>
      <w:pPr>
        <w:spacing w:before="0" w:after="0"/>
        <w:ind w:left="120"/>
        <w:jc w:val="center"/>
      </w:pPr>
      <w:r>
        <w:rPr>
          <w:rFonts w:ascii="Times New Roman" w:hAnsi="Times New Roman"/>
          <w:b w:val="false"/>
          <w:i w:val="false"/>
          <w:color w:val="000000"/>
          <w:sz w:val="21"/>
        </w:rPr>
        <w:t>[Filed emergency 9/15/89 after Notice 3/8/89—published 10/4/89, effective 9/15/89]</w:t>
      </w:r>
    </w:p>
    <w:p>
      <w:pPr>
        <w:spacing w:before="0" w:after="0"/>
        <w:ind w:left="120"/>
        <w:jc w:val="center"/>
      </w:pPr>
      <w:r>
        <w:rPr>
          <w:rFonts w:ascii="Times New Roman" w:hAnsi="Times New Roman"/>
          <w:b w:val="false"/>
          <w:i w:val="false"/>
          <w:color w:val="000000"/>
          <w:sz w:val="21"/>
        </w:rPr>
        <w:t>[Filed emergency 9/13/90 after Notices of 3/7/90, 5/2/90—published 10/3/90, effective 9/13/90]</w:t>
      </w:r>
    </w:p>
    <w:p>
      <w:pPr>
        <w:spacing w:before="0" w:after="0"/>
        <w:ind w:left="120"/>
        <w:jc w:val="center"/>
      </w:pPr>
      <w:r>
        <w:rPr>
          <w:rFonts w:ascii="Times New Roman" w:hAnsi="Times New Roman"/>
          <w:b w:val="false"/>
          <w:i w:val="false"/>
          <w:color w:val="000000"/>
          <w:sz w:val="21"/>
        </w:rPr>
        <w:t>[Filed 2/15/91, Notice 12/26/90—published 3/6/91, effective 4/10/91]</w:t>
      </w:r>
    </w:p>
    <w:p>
      <w:pPr>
        <w:spacing w:before="0" w:after="0"/>
        <w:ind w:left="120"/>
        <w:jc w:val="center"/>
      </w:pPr>
      <w:r>
        <w:rPr>
          <w:rFonts w:ascii="Times New Roman" w:hAnsi="Times New Roman"/>
          <w:b w:val="false"/>
          <w:i w:val="false"/>
          <w:color w:val="000000"/>
          <w:sz w:val="21"/>
        </w:rPr>
        <w:t>[Filed emergency after Notice 9/13/91, Notice 3/6/91—published 10/2/91, effective 9/13/91]</w:t>
      </w:r>
    </w:p>
    <w:p>
      <w:pPr>
        <w:spacing w:before="0" w:after="0"/>
        <w:ind w:left="120"/>
        <w:jc w:val="center"/>
      </w:pPr>
      <w:r>
        <w:rPr>
          <w:rFonts w:ascii="Times New Roman" w:hAnsi="Times New Roman"/>
          <w:b w:val="false"/>
          <w:i w:val="false"/>
          <w:color w:val="000000"/>
          <w:sz w:val="21"/>
        </w:rPr>
        <w:t>[Filed emergency 9/10/92 after Notice 3/4/92—published 9/30/92, effective 9/10/92]</w:t>
      </w:r>
    </w:p>
    <w:p>
      <w:pPr>
        <w:spacing w:before="0" w:after="0"/>
        <w:ind w:left="120"/>
        <w:jc w:val="center"/>
      </w:pPr>
      <w:r>
        <w:rPr>
          <w:rFonts w:ascii="Times New Roman" w:hAnsi="Times New Roman"/>
          <w:b w:val="false"/>
          <w:i w:val="false"/>
          <w:color w:val="000000"/>
          <w:sz w:val="21"/>
        </w:rPr>
        <w:t>[Filed emergency 9/10/93 after Notice 3/31/93—published 9/29/93, effective 9/10/93]</w:t>
      </w:r>
    </w:p>
    <w:p>
      <w:pPr>
        <w:spacing w:before="0" w:after="0"/>
        <w:ind w:left="120"/>
        <w:jc w:val="center"/>
      </w:pPr>
      <w:r>
        <w:rPr>
          <w:rFonts w:ascii="Times New Roman" w:hAnsi="Times New Roman"/>
          <w:b w:val="false"/>
          <w:i w:val="false"/>
          <w:color w:val="000000"/>
          <w:sz w:val="21"/>
        </w:rPr>
        <w:t>[Filed emergency 9/9/94 after Notice 3/2/94—published 9/28/94, effective 9/9/94]</w:t>
      </w:r>
    </w:p>
    <w:p>
      <w:pPr>
        <w:spacing w:before="0" w:after="0"/>
        <w:ind w:left="120"/>
        <w:jc w:val="center"/>
      </w:pPr>
      <w:r>
        <w:rPr>
          <w:rFonts w:ascii="Times New Roman" w:hAnsi="Times New Roman"/>
          <w:b w:val="false"/>
          <w:i w:val="false"/>
          <w:color w:val="000000"/>
          <w:sz w:val="21"/>
        </w:rPr>
        <w:t>[Filed emergency 9/8/95 after Notice 3/1/95—published 9/27/95, effective 9/8/95]</w:t>
      </w:r>
    </w:p>
    <w:p>
      <w:pPr>
        <w:spacing w:before="0" w:after="0"/>
        <w:ind w:left="120"/>
        <w:jc w:val="center"/>
      </w:pPr>
      <w:r>
        <w:rPr>
          <w:rFonts w:ascii="Times New Roman" w:hAnsi="Times New Roman"/>
          <w:b w:val="false"/>
          <w:i w:val="false"/>
          <w:color w:val="000000"/>
          <w:sz w:val="21"/>
        </w:rPr>
        <w:t>[Filed emergency 9/8/95 after Notice 7/5/95—published 9/27/95, effective 9/8/95]</w:t>
      </w:r>
    </w:p>
    <w:p>
      <w:pPr>
        <w:spacing w:before="0" w:after="0"/>
        <w:ind w:left="120"/>
        <w:jc w:val="center"/>
      </w:pPr>
      <w:r>
        <w:rPr>
          <w:rFonts w:ascii="Times New Roman" w:hAnsi="Times New Roman"/>
          <w:b w:val="false"/>
          <w:i w:val="false"/>
          <w:color w:val="000000"/>
          <w:sz w:val="21"/>
        </w:rPr>
        <w:t>[Filed 8/9/96, Notice 6/5/96—published 8/28/96, effective 10/2/96]</w:t>
      </w:r>
    </w:p>
    <w:p>
      <w:pPr>
        <w:spacing w:before="0" w:after="0"/>
        <w:ind w:left="120"/>
        <w:jc w:val="center"/>
      </w:pPr>
      <w:r>
        <w:rPr>
          <w:rFonts w:ascii="Times New Roman" w:hAnsi="Times New Roman"/>
          <w:b w:val="false"/>
          <w:i w:val="false"/>
          <w:color w:val="000000"/>
          <w:sz w:val="21"/>
        </w:rPr>
        <w:t>[Filed emergency 8/23/96 after Notice 2/28/96—published 9/11/96, effective 8/23/96]</w:t>
      </w:r>
    </w:p>
    <w:p>
      <w:pPr>
        <w:spacing w:before="0" w:after="0"/>
        <w:ind w:left="120"/>
        <w:jc w:val="center"/>
      </w:pPr>
      <w:r>
        <w:rPr>
          <w:rFonts w:ascii="Times New Roman" w:hAnsi="Times New Roman"/>
          <w:b w:val="false"/>
          <w:i w:val="false"/>
          <w:color w:val="000000"/>
          <w:sz w:val="21"/>
        </w:rPr>
        <w:t>[Filed emergency 9/19/97 after Notice 3/12/97—published 10/8/97, effective 9/19/97]</w:t>
      </w:r>
    </w:p>
    <w:p>
      <w:pPr>
        <w:spacing w:before="0" w:after="0"/>
        <w:ind w:left="120"/>
        <w:jc w:val="center"/>
      </w:pPr>
      <w:r>
        <w:rPr>
          <w:rFonts w:ascii="Times New Roman" w:hAnsi="Times New Roman"/>
          <w:b w:val="false"/>
          <w:i w:val="false"/>
          <w:color w:val="000000"/>
          <w:sz w:val="21"/>
        </w:rPr>
        <w:t>[Filed emergency 8/21/98 after Notice 3/11/98—published 9/9/98, effective 8/21/98]</w:t>
      </w:r>
    </w:p>
    <w:p>
      <w:pPr>
        <w:spacing w:before="0" w:after="0"/>
        <w:ind w:left="120"/>
        <w:jc w:val="center"/>
      </w:pPr>
      <w:r>
        <w:rPr>
          <w:rFonts w:ascii="Times New Roman" w:hAnsi="Times New Roman"/>
          <w:b w:val="false"/>
          <w:i w:val="false"/>
          <w:color w:val="000000"/>
          <w:sz w:val="21"/>
        </w:rPr>
        <w:t>[Filed emergency 10/16/98—published 11/4/98, effective 10/16/98]</w:t>
      </w:r>
    </w:p>
    <w:p>
      <w:pPr>
        <w:spacing w:before="0" w:after="0"/>
        <w:ind w:left="120"/>
        <w:jc w:val="center"/>
      </w:pPr>
      <w:r>
        <w:rPr>
          <w:rFonts w:ascii="Times New Roman" w:hAnsi="Times New Roman"/>
          <w:b w:val="false"/>
          <w:i w:val="false"/>
          <w:color w:val="000000"/>
          <w:sz w:val="21"/>
        </w:rPr>
        <w:t>[Filed emergency 8/20/99 after Notice 3/10/99—published 9/8/99, effective 8/20/99]</w:t>
      </w:r>
    </w:p>
    <w:p>
      <w:pPr>
        <w:spacing w:before="0" w:after="0"/>
        <w:ind w:left="120"/>
        <w:jc w:val="center"/>
      </w:pPr>
      <w:r>
        <w:rPr>
          <w:rFonts w:ascii="Times New Roman" w:hAnsi="Times New Roman"/>
          <w:b w:val="false"/>
          <w:i w:val="false"/>
          <w:color w:val="000000"/>
          <w:sz w:val="21"/>
        </w:rPr>
        <w:t>[Filed emergency 8/18/00 after Notice 3/8/00—published 9/6/00, effective 8/18/00]</w:t>
      </w:r>
    </w:p>
    <w:p>
      <w:pPr>
        <w:spacing w:before="0" w:after="0"/>
        <w:ind w:left="120"/>
        <w:jc w:val="center"/>
      </w:pPr>
      <w:r>
        <w:rPr>
          <w:rFonts w:ascii="Times New Roman" w:hAnsi="Times New Roman"/>
          <w:b w:val="false"/>
          <w:i w:val="false"/>
          <w:color w:val="000000"/>
          <w:sz w:val="21"/>
        </w:rPr>
        <w:t>[Filed emergency 8/17/01 after Notice 3/7/01—published 9/5/01, effective 8/17/01]</w:t>
      </w:r>
    </w:p>
    <w:p>
      <w:pPr>
        <w:spacing w:before="0" w:after="0"/>
        <w:ind w:left="120"/>
        <w:jc w:val="center"/>
      </w:pPr>
      <w:r>
        <w:rPr>
          <w:rFonts w:ascii="Times New Roman" w:hAnsi="Times New Roman"/>
          <w:b w:val="false"/>
          <w:i w:val="false"/>
          <w:color w:val="000000"/>
          <w:sz w:val="21"/>
        </w:rPr>
        <w:t>[Filed emergency 8/16/02 after Notice 3/6/02—published 9/4/02, effective 8/16/02]</w:t>
      </w:r>
    </w:p>
    <w:p>
      <w:pPr>
        <w:spacing w:before="0" w:after="0"/>
        <w:ind w:left="120"/>
        <w:jc w:val="center"/>
      </w:pPr>
      <w:r>
        <w:rPr>
          <w:rFonts w:ascii="Times New Roman" w:hAnsi="Times New Roman"/>
          <w:b w:val="false"/>
          <w:i w:val="false"/>
          <w:color w:val="000000"/>
          <w:sz w:val="21"/>
        </w:rPr>
        <w:t>[Filed emergency 8/15/03 after Notice 3/5/03—published 9/3/03, effective 8/15/03]</w:t>
      </w:r>
    </w:p>
    <w:p>
      <w:pPr>
        <w:spacing w:before="0" w:after="0"/>
        <w:ind w:left="120"/>
        <w:jc w:val="center"/>
      </w:pPr>
      <w:r>
        <w:rPr>
          <w:rFonts w:ascii="Times New Roman" w:hAnsi="Times New Roman"/>
          <w:b w:val="false"/>
          <w:i w:val="false"/>
          <w:color w:val="000000"/>
          <w:sz w:val="21"/>
        </w:rPr>
        <w:t>[Filed emergency 8/13/04 after Notice 3/3/04—published 9/1/04, effective 8/13/04]</w:t>
      </w:r>
    </w:p>
    <w:p>
      <w:pPr>
        <w:spacing w:before="0" w:after="0"/>
        <w:ind w:left="120"/>
        <w:jc w:val="center"/>
      </w:pPr>
      <w:r>
        <w:rPr>
          <w:rFonts w:ascii="Times New Roman" w:hAnsi="Times New Roman"/>
          <w:b w:val="false"/>
          <w:i w:val="false"/>
          <w:color w:val="000000"/>
          <w:sz w:val="21"/>
        </w:rPr>
        <w:t>[Filed emergency 8/11/05 after Notice 3/30/05—published 8/31/05, effective 8/11/05]</w:t>
      </w:r>
    </w:p>
    <w:p>
      <w:pPr>
        <w:spacing w:before="0" w:after="0"/>
        <w:ind w:left="120"/>
        <w:jc w:val="center"/>
      </w:pPr>
      <w:r>
        <w:rPr>
          <w:rFonts w:ascii="Times New Roman" w:hAnsi="Times New Roman"/>
          <w:b w:val="false"/>
          <w:i w:val="false"/>
          <w:color w:val="000000"/>
          <w:sz w:val="21"/>
        </w:rPr>
        <w:t>[Filed emergency 8/11/06 after Notice 3/29/06—published 8/30/06, effective 8/11/06]</w:t>
      </w:r>
    </w:p>
    <w:p>
      <w:pPr>
        <w:spacing w:before="0" w:after="0"/>
        <w:ind w:left="120"/>
        <w:jc w:val="center"/>
      </w:pPr>
      <w:r>
        <w:rPr>
          <w:rFonts w:ascii="Times New Roman" w:hAnsi="Times New Roman"/>
          <w:b w:val="false"/>
          <w:i w:val="false"/>
          <w:color w:val="000000"/>
          <w:sz w:val="21"/>
        </w:rPr>
        <w:t>[Filed emergency 8/10/07 after Notice 3/28/07—published 8/29/07, effective 8/10/07]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After Notice ARC 8106B</w:t>
      </w:r>
      <w:r>
        <w:rPr>
          <w:rFonts w:ascii="Times New Roman" w:hAnsi="Times New Roman"/>
          <w:b w:val="false"/>
          <w:i w:val="false"/>
          <w:color w:val="000000"/>
          <w:sz w:val="21"/>
        </w:rPr>
        <w:t xml:space="preserve"> (Notice ARC 7686B, IAB 4/8/09)</w:t>
      </w:r>
      <w:r>
        <w:rPr>
          <w:rFonts w:ascii="Times New Roman" w:hAnsi="Times New Roman"/>
          <w:b w:val="false"/>
          <w:i w:val="false"/>
          <w:color w:val="000000"/>
          <w:sz w:val="21"/>
        </w:rPr>
        <w:t>, IAB 9/9/09, effective 8/18/09]</w:t>
      </w:r>
    </w:p>
    <w:p>
      <w:pPr>
        <w:spacing w:before="0" w:after="0"/>
        <w:ind w:left="120"/>
        <w:jc w:val="center"/>
      </w:pPr>
      <w:r>
        <w:rPr>
          <w:rFonts w:ascii="Times New Roman" w:hAnsi="Times New Roman"/>
          <w:b w:val="false"/>
          <w:i w:val="false"/>
          <w:color w:val="000000"/>
          <w:sz w:val="21"/>
        </w:rPr>
        <w:t>[Filed Emergency After Notice ARC 9055B</w:t>
      </w:r>
      <w:r>
        <w:rPr>
          <w:rFonts w:ascii="Times New Roman" w:hAnsi="Times New Roman"/>
          <w:b w:val="false"/>
          <w:i w:val="false"/>
          <w:color w:val="000000"/>
          <w:sz w:val="21"/>
        </w:rPr>
        <w:t xml:space="preserve"> (Notice ARC 8682B, IAB 4/7/10)</w:t>
      </w:r>
      <w:r>
        <w:rPr>
          <w:rFonts w:ascii="Times New Roman" w:hAnsi="Times New Roman"/>
          <w:b w:val="false"/>
          <w:i w:val="false"/>
          <w:color w:val="000000"/>
          <w:sz w:val="21"/>
        </w:rPr>
        <w:t>, IAB 9/8/10, effective 8/16/10]</w:t>
      </w:r>
    </w:p>
    <w:p>
      <w:pPr>
        <w:spacing w:before="0" w:after="0"/>
        <w:ind w:left="120"/>
        <w:jc w:val="center"/>
      </w:pPr>
      <w:r>
        <w:rPr>
          <w:rFonts w:ascii="Times New Roman" w:hAnsi="Times New Roman"/>
          <w:b w:val="false"/>
          <w:i w:val="false"/>
          <w:color w:val="000000"/>
          <w:sz w:val="21"/>
        </w:rPr>
        <w:t>[Filed Emergency After Notice ARC 9720B, IAB 9/7/11, effective 8/19/11]</w:t>
      </w:r>
    </w:p>
    <w:p>
      <w:pPr>
        <w:spacing w:before="0" w:after="0"/>
        <w:ind w:left="120"/>
        <w:jc w:val="center"/>
      </w:pPr>
      <w:r>
        <w:rPr>
          <w:rFonts w:ascii="Times New Roman" w:hAnsi="Times New Roman"/>
          <w:b w:val="false"/>
          <w:i w:val="false"/>
          <w:color w:val="000000"/>
          <w:sz w:val="21"/>
        </w:rPr>
        <w:t>[Filed Emergency After Notice ARC 0307C</w:t>
      </w:r>
      <w:r>
        <w:rPr>
          <w:rFonts w:ascii="Times New Roman" w:hAnsi="Times New Roman"/>
          <w:b w:val="false"/>
          <w:i w:val="false"/>
          <w:color w:val="000000"/>
          <w:sz w:val="21"/>
        </w:rPr>
        <w:t xml:space="preserve"> (Notice ARC 0116C, IAB 5/2/12)</w:t>
      </w:r>
      <w:r>
        <w:rPr>
          <w:rFonts w:ascii="Times New Roman" w:hAnsi="Times New Roman"/>
          <w:b w:val="false"/>
          <w:i w:val="false"/>
          <w:color w:val="000000"/>
          <w:sz w:val="21"/>
        </w:rPr>
        <w:t>, IAB 9/5/12, effective 8/15/12]</w:t>
      </w:r>
    </w:p>
    <w:p>
      <w:pPr>
        <w:spacing w:before="0" w:after="0"/>
        <w:ind w:left="120"/>
        <w:jc w:val="center"/>
      </w:pPr>
      <w:r>
        <w:rPr>
          <w:rFonts w:ascii="Times New Roman" w:hAnsi="Times New Roman"/>
          <w:b w:val="false"/>
          <w:i w:val="false"/>
          <w:color w:val="000000"/>
          <w:sz w:val="21"/>
        </w:rPr>
        <w:t>[Filed Emergency After Notice ARC 1003C</w:t>
      </w:r>
      <w:r>
        <w:rPr>
          <w:rFonts w:ascii="Times New Roman" w:hAnsi="Times New Roman"/>
          <w:b w:val="false"/>
          <w:i w:val="false"/>
          <w:color w:val="000000"/>
          <w:sz w:val="21"/>
        </w:rPr>
        <w:t xml:space="preserve"> (Notice ARC 0721C, IAB 5/1/13)</w:t>
      </w:r>
      <w:r>
        <w:rPr>
          <w:rFonts w:ascii="Times New Roman" w:hAnsi="Times New Roman"/>
          <w:b w:val="false"/>
          <w:i w:val="false"/>
          <w:color w:val="000000"/>
          <w:sz w:val="21"/>
        </w:rPr>
        <w:t>, IAB 9/4/13, effective 8/15/13]</w:t>
      </w:r>
    </w:p>
    <w:p>
      <w:pPr>
        <w:spacing w:before="0" w:after="0"/>
        <w:ind w:left="120"/>
        <w:jc w:val="center"/>
      </w:pPr>
      <w:r>
        <w:rPr>
          <w:rFonts w:ascii="Times New Roman" w:hAnsi="Times New Roman"/>
          <w:b w:val="false"/>
          <w:i w:val="false"/>
          <w:color w:val="000000"/>
          <w:sz w:val="21"/>
        </w:rPr>
        <w:t>[Filed Emergency After Notice ARC 1614C</w:t>
      </w:r>
      <w:r>
        <w:rPr>
          <w:rFonts w:ascii="Times New Roman" w:hAnsi="Times New Roman"/>
          <w:b w:val="false"/>
          <w:i w:val="false"/>
          <w:color w:val="000000"/>
          <w:sz w:val="21"/>
        </w:rPr>
        <w:t xml:space="preserve"> (Notice ARC 1450C, IAB 4/30/14)</w:t>
      </w:r>
      <w:r>
        <w:rPr>
          <w:rFonts w:ascii="Times New Roman" w:hAnsi="Times New Roman"/>
          <w:b w:val="false"/>
          <w:i w:val="false"/>
          <w:color w:val="000000"/>
          <w:sz w:val="21"/>
        </w:rPr>
        <w:t>, IAB 9/3/14, effective 8/15/14]</w:t>
      </w:r>
    </w:p>
    <w:p>
      <w:pPr>
        <w:spacing w:before="0" w:after="0"/>
        <w:ind w:left="120"/>
        <w:jc w:val="center"/>
      </w:pPr>
      <w:r>
        <w:rPr>
          <w:rFonts w:ascii="Times New Roman" w:hAnsi="Times New Roman"/>
          <w:b w:val="false"/>
          <w:i w:val="false"/>
          <w:color w:val="000000"/>
          <w:sz w:val="21"/>
        </w:rPr>
        <w:t>[Filed Emergency After Notice ARC 2129C</w:t>
      </w:r>
      <w:r>
        <w:rPr>
          <w:rFonts w:ascii="Times New Roman" w:hAnsi="Times New Roman"/>
          <w:b w:val="false"/>
          <w:i w:val="false"/>
          <w:color w:val="000000"/>
          <w:sz w:val="21"/>
        </w:rPr>
        <w:t xml:space="preserve"> (Notice ARC 2033C, IAB 6/10/15)</w:t>
      </w:r>
      <w:r>
        <w:rPr>
          <w:rFonts w:ascii="Times New Roman" w:hAnsi="Times New Roman"/>
          <w:b w:val="false"/>
          <w:i w:val="false"/>
          <w:color w:val="000000"/>
          <w:sz w:val="21"/>
        </w:rPr>
        <w:t>, IAB 9/2/15, effective 8/13/15]</w:t>
      </w:r>
    </w:p>
    <w:p>
      <w:pPr>
        <w:spacing w:before="0" w:after="0"/>
        <w:ind w:left="120"/>
        <w:jc w:val="center"/>
      </w:pPr>
      <w:r>
        <w:rPr>
          <w:rFonts w:ascii="Times New Roman" w:hAnsi="Times New Roman"/>
          <w:b w:val="false"/>
          <w:i w:val="false"/>
          <w:color w:val="000000"/>
          <w:sz w:val="21"/>
        </w:rPr>
        <w:t>[Filed ARC 2526C</w:t>
      </w:r>
      <w:r>
        <w:rPr>
          <w:rFonts w:ascii="Times New Roman" w:hAnsi="Times New Roman"/>
          <w:b w:val="false"/>
          <w:i w:val="false"/>
          <w:color w:val="000000"/>
          <w:sz w:val="21"/>
        </w:rPr>
        <w:t xml:space="preserve"> (Notice ARC 2409C, IAB 2/17/16)</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[Filed ARC 3060C</w:t>
      </w:r>
      <w:r>
        <w:rPr>
          <w:rFonts w:ascii="Times New Roman" w:hAnsi="Times New Roman"/>
          <w:b w:val="false"/>
          <w:i w:val="false"/>
          <w:color w:val="000000"/>
          <w:sz w:val="21"/>
        </w:rPr>
        <w:t xml:space="preserve"> (Notice ARC 2937C, IAB 2/15/17)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3797C</w:t>
      </w:r>
      <w:r>
        <w:rPr>
          <w:rFonts w:ascii="Times New Roman" w:hAnsi="Times New Roman"/>
          <w:b w:val="false"/>
          <w:i w:val="false"/>
          <w:color w:val="000000"/>
          <w:sz w:val="21"/>
        </w:rPr>
        <w:t xml:space="preserve"> (Notice ARC 3623C, IAB 2/14/18)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5057C</w:t>
      </w:r>
      <w:r>
        <w:rPr>
          <w:rFonts w:ascii="Times New Roman" w:hAnsi="Times New Roman"/>
          <w:b w:val="false"/>
          <w:i w:val="false"/>
          <w:color w:val="000000"/>
          <w:sz w:val="21"/>
        </w:rPr>
        <w:t xml:space="preserve"> (Notice ARC 4914C, IAB 2/12/20)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6355C</w:t>
      </w:r>
      <w:r>
        <w:rPr>
          <w:rFonts w:ascii="Times New Roman" w:hAnsi="Times New Roman"/>
          <w:b w:val="false"/>
          <w:i w:val="false"/>
          <w:color w:val="000000"/>
          <w:sz w:val="21"/>
        </w:rPr>
        <w:t xml:space="preserve"> (Notice ARC 6260C, IAB 3/23/22)</w:t>
      </w:r>
      <w:r>
        <w:rPr>
          <w:rFonts w:ascii="Times New Roman" w:hAnsi="Times New Roman"/>
          <w:b w:val="false"/>
          <w:i w:val="false"/>
          <w:color w:val="000000"/>
          <w:sz w:val="21"/>
        </w:rPr>
        <w:t>, IAB 6/15/22, effective 7/20/22]</w:t>
      </w:r>
    </w:p>
    <w:p>
      <w:pPr>
        <w:spacing w:before="0" w:after="0"/>
        <w:ind w:left="120"/>
        <w:jc w:val="center"/>
      </w:pPr>
      <w:r>
        <w:rPr>
          <w:rFonts w:ascii="Times New Roman" w:hAnsi="Times New Roman"/>
          <w:b w:val="false"/>
          <w:i w:val="false"/>
          <w:color w:val="000000"/>
          <w:sz w:val="21"/>
        </w:rPr>
        <w:t>[Filed ARC 7914C</w:t>
      </w:r>
      <w:r>
        <w:rPr>
          <w:rFonts w:ascii="Times New Roman" w:hAnsi="Times New Roman"/>
          <w:b w:val="false"/>
          <w:i w:val="false"/>
          <w:color w:val="000000"/>
          <w:sz w:val="21"/>
        </w:rPr>
        <w:t xml:space="preserve"> (Notice ARC 7238C, IAB 12/27/23)</w:t>
      </w:r>
      <w:r>
        <w:rPr>
          <w:rFonts w:ascii="Times New Roman" w:hAnsi="Times New Roman"/>
          <w:b w:val="false"/>
          <w:i w:val="false"/>
          <w:color w:val="000000"/>
          <w:sz w:val="21"/>
        </w:rPr>
        <w:t>, IAB 5/1/24, effective 6/5/24]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nr.gov/Hunting/Migratory-Game-Birds" Type="http://schemas.openxmlformats.org/officeDocument/2006/relationships/hyperlink" Id="rId5"/>
    <Relationship TargetMode="External" Target="http://www.iowadnr.gov/Hunting/Migratory-Game-Birds" Type="http://schemas.openxmlformats.org/officeDocument/2006/relationships/hyperlink" Id="rId6"/>
    <Relationship TargetMode="External" Target="http://www.iowadnr.gov/Hunting/Migratory-Game-Birds" Type="http://schemas.openxmlformats.org/officeDocument/2006/relationships/hyperlink" Id="rId7"/>
    <Relationship TargetMode="External" Target="http://www.iowadnr.gov/Hunting/Migratory-Game-Birds" Type="http://schemas.openxmlformats.org/officeDocument/2006/relationships/hyperlink" Id="rId8"/>
    <Relationship TargetMode="External" Target="http://www.iowadnr.gov/Hunting/Migratory-Game-Birds" Type="http://schemas.openxmlformats.org/officeDocument/2006/relationships/hyperlink" Id="rId9"/>
    <Relationship TargetMode="External" Target="http://www.iowadnr.gov/Hunting/Migratory-Game-Birds" Type="http://schemas.openxmlformats.org/officeDocument/2006/relationships/hyperlink" Id="rId10"/>
    <Relationship TargetMode="External" Target="http://www.iowadnr.gov/Hunting/Migratory-Game-Birds" Type="http://schemas.openxmlformats.org/officeDocument/2006/relationships/hyperlink" Id="rId11"/>
    <Relationship TargetMode="External" Target="https://www.legis.iowa.gov/docs/iac/rule/571.91.4.pdf" Type="http://schemas.openxmlformats.org/officeDocument/2006/relationships/hyperlink" Id="rId12"/>
    <Relationship TargetMode="External" Target="https://www.legis.iowa.gov/docs/iac/rule/571.91.5.pdf" Type="http://schemas.openxmlformats.org/officeDocument/2006/relationships/hyperlink" Id="rId13"/>
    <Relationship TargetMode="External" Target="https://www.legis.iowa.gov/docs/iac/rule/571.91.5.pdf" Type="http://schemas.openxmlformats.org/officeDocument/2006/relationships/hyperlink" Id="rId14"/>
    <Relationship TargetMode="External" Target="https://www.legis.iowa.gov/docs/iac/rule/571.91.5.pdf" Type="http://schemas.openxmlformats.org/officeDocument/2006/relationships/hyperlink" Id="rId15"/>
    <Relationship TargetMode="External" Target="https://www.legis.iowa.gov/docs/ico/chapter/483A.1A.pdf" Type="http://schemas.openxmlformats.org/officeDocument/2006/relationships/hyperlink" Id="rId16"/>
    <Relationship TargetMode="External" Target="https://www.legis.iowa.gov/docs/iac/rule/571.91.1.pdf" Type="http://schemas.openxmlformats.org/officeDocument/2006/relationships/hyperlink" Id="rId17"/>
    <Relationship TargetMode="External" Target="https://www.legis.iowa.gov/docs/ico/chapter/481A.38.pdf" Type="http://schemas.openxmlformats.org/officeDocument/2006/relationships/hyperlink" Id="rId18"/>
    <Relationship TargetMode="External" Target="https://www.legis.iowa.gov/docs/ico/chapter/481A.39.pdf" Type="http://schemas.openxmlformats.org/officeDocument/2006/relationships/hyperlink" Id="rId19"/>
    <Relationship TargetMode="External" Target="https://www.legis.iowa.gov/docs/ico/chapter/481A.48.pdf" Type="http://schemas.openxmlformats.org/officeDocument/2006/relationships/hyperlink" Id="rId20"/>
    <Relationship TargetMode="External" Target="https://www.legis.iowa.gov/docs/ico/chapter/483A.2.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