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AQUATIC INVASIVE SPECIES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571—90.1</w:t>
      </w:r>
      <w:r>
        <w:rPr>
          <w:rFonts w:ascii="Times New Roman" w:hAnsi="Times New Roman"/>
          <w:b/>
          <w:i w:val="false"/>
          <w:color w:val="000000"/>
          <w:sz w:val="22"/>
        </w:rPr>
        <w:t xml:space="preserve">(456A)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“Introduce” </w:t>
      </w:r>
      <w:r>
        <w:rPr>
          <w:rFonts w:ascii="Times New Roman" w:hAnsi="Times New Roman"/>
          <w:b w:val="false"/>
          <w:i w:val="false"/>
          <w:color w:val="000000"/>
          <w:sz w:val="22"/>
        </w:rPr>
        <w:t>means to release a species into waters of the state. “Introduce” does not include the immediate return of a nonnative species to waters of the state from which it was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w:t>
      </w:r>
      <w:r>
        <w:rPr>
          <w:rFonts w:ascii="Times New Roman" w:hAnsi="Times New Roman"/>
          <w:b w:val="false"/>
          <w:i w:val="false"/>
          <w:color w:val="000000"/>
          <w:sz w:val="22"/>
        </w:rPr>
        <w:t>means to cause a species to be moved into or within the state, and includes accepting or receiving the species for transportation or shipment. “Transport” does not include the unintentional transport of a species within a water of the state or to a connected water of the state where the species being transported is already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“Watercraft” </w:t>
      </w:r>
      <w:r>
        <w:rPr>
          <w:rFonts w:ascii="Times New Roman" w:hAnsi="Times New Roman"/>
          <w:b w:val="false"/>
          <w:i w:val="false"/>
          <w:color w:val="000000"/>
          <w:sz w:val="22"/>
        </w:rPr>
        <w:t>means a device used or designed for navigation on water.</w:t>
      </w:r>
    </w:p>
    <w:p>
      <w:pPr>
        <w:spacing w:before="0" w:after="0"/>
        <w:ind w:left="120"/>
        <w:jc w:val="both"/>
      </w:pPr>
      <w:r>
        <w:rPr>
          <w:rFonts w:ascii="Times New Roman" w:hAnsi="Times New Roman"/>
          <w:b/>
          <w:i w:val="false"/>
          <w:color w:val="000000"/>
          <w:sz w:val="22"/>
        </w:rPr>
        <w:t>571—90.2</w:t>
      </w:r>
      <w:r>
        <w:rPr>
          <w:rFonts w:ascii="Times New Roman" w:hAnsi="Times New Roman"/>
          <w:b/>
          <w:i w:val="false"/>
          <w:color w:val="000000"/>
          <w:sz w:val="22"/>
        </w:rPr>
        <w:t xml:space="preserve">(456A) </w:t>
      </w:r>
      <w:r>
        <w:rPr>
          <w:rFonts w:ascii="Times New Roman" w:hAnsi="Times New Roman"/>
          <w:b/>
          <w:i w:val="false"/>
          <w:color w:val="000000"/>
          <w:sz w:val="22"/>
        </w:rPr>
        <w:t xml:space="preserve">Aquatic invasive species. </w:t>
      </w:r>
      <w:r>
        <w:rPr>
          <w:rFonts w:ascii="Times New Roman" w:hAnsi="Times New Roman"/>
          <w:b w:val="false"/>
          <w:i w:val="false"/>
          <w:color w:val="000000"/>
          <w:sz w:val="22"/>
        </w:rPr>
        <w:t>For the purposes of this rule, the following species and any hybrids, cultivars, or varieties of the species are designated as aquatic invasive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plants. </w:t>
      </w:r>
    </w:p>
    <w:tbl>
      <w:tblPr>
        <w:tblW w:w="5000" w:type="pct"/>
        <w:tblCellSpacing w:w="0" w:type="auto"/>
        <w:tblBorders>
          <w:top w:val="none"/>
          <w:left w:val="none"/>
          <w:bottom w:val="none"/>
          <w:right w:val="none"/>
          <w:insideH w:val="none"/>
          <w:insideV w:val="none"/>
        </w:tblBorders>
        <w:tblLayout w:type="fixed"/>
      </w:tblPr>
      <w:tblGrid>
        <w:gridCol w:w="4088"/>
        <w:gridCol w:w="7101"/>
      </w:tblGrid>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Brittle naiad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Najas minor</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Curlyleaf pondweed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Potamogeton crispus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Eurasian watermilfoil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Myriophyllum spicatum</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Flowering rush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Butomus umbellatus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Purple loosestrife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Lythrum salicaria, Lythrum virgatum</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Salt cedar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Tamarix spp.</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fish. </w:t>
      </w:r>
    </w:p>
    <w:tbl>
      <w:tblPr>
        <w:tblW w:w="5000" w:type="pct"/>
        <w:tblCellSpacing w:w="0" w:type="auto"/>
        <w:tblBorders>
          <w:top w:val="none"/>
          <w:left w:val="none"/>
          <w:bottom w:val="none"/>
          <w:right w:val="none"/>
          <w:insideH w:val="none"/>
          <w:insideV w:val="none"/>
        </w:tblBorders>
        <w:tblLayout w:type="fixed"/>
      </w:tblPr>
      <w:tblGrid>
        <w:gridCol w:w="4088"/>
        <w:gridCol w:w="7101"/>
      </w:tblGrid>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Bighead carp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Hypophthalmichthys nobilis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carp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Mylopharyngodon piceus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Round goby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Neogobius melanostomus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Rudd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Scardinius erythrophthalmus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Ruffe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Gymnocephalus cernuus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Silver carp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Hypophthalmichthys molitrix</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White perch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Morone americana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Aquatic invasive invertebrates. </w:t>
      </w:r>
    </w:p>
    <w:tbl>
      <w:tblPr>
        <w:tblW w:w="5000" w:type="pct"/>
        <w:tblCellSpacing w:w="0" w:type="auto"/>
        <w:tblBorders>
          <w:top w:val="none"/>
          <w:left w:val="none"/>
          <w:bottom w:val="none"/>
          <w:right w:val="none"/>
          <w:insideH w:val="none"/>
          <w:insideV w:val="none"/>
        </w:tblBorders>
        <w:tblLayout w:type="fixed"/>
      </w:tblPr>
      <w:tblGrid>
        <w:gridCol w:w="4088"/>
        <w:gridCol w:w="7101"/>
      </w:tblGrid>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Fishhook waterflea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Cercopagis pengoi</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New Zealand mudsnail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Potamopyrgus antipodarum</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Quagga mussel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Dreissena bugensis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Rusty crayfish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Orconectes rusticus</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Spiny waterflea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Bythotrephes cederstroemi</w:t>
            </w:r>
          </w:p>
        </w:tc>
      </w:tr>
      <w:tr>
        <w:trPr>
          <w:trHeight w:val="270" w:hRule="atLeast"/>
        </w:trPr>
        <w:tc>
          <w:tcPr>
            <w:tcW w:w="40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Zebra mussel </w:t>
            </w:r>
          </w:p>
        </w:tc>
        <w:tc>
          <w:tcPr>
            <w:tcW w:w="71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Dreissena polymorpha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w:t>
      </w:r>
      <w:r>
        <w:rPr>
          <w:rFonts w:ascii="Times New Roman" w:hAnsi="Times New Roman"/>
          <w:b w:val="false"/>
          <w:i w:val="false"/>
          <w:color w:val="000000"/>
          <w:sz w:val="22"/>
        </w:rPr>
        <w:t> </w:t>
      </w:r>
      <w:r>
        <w:rPr>
          <w:rFonts w:ascii="Times New Roman" w:hAnsi="Times New Roman"/>
          <w:b w:val="false"/>
          <w:i/>
          <w:color w:val="000000"/>
          <w:sz w:val="22"/>
        </w:rPr>
        <w:t xml:space="preserve">Federal noxious weed list. </w:t>
      </w:r>
      <w:r>
        <w:rPr>
          <w:rFonts w:ascii="Times New Roman" w:hAnsi="Times New Roman"/>
          <w:b w:val="false"/>
          <w:i w:val="false"/>
          <w:color w:val="000000"/>
          <w:sz w:val="22"/>
        </w:rPr>
        <w:t>For purposes of this rule, the aquatic plants listed in Code of Federal Regulations, Title 7, Section 360.200, are also designated as aquatic invasive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90.2(5)</w:t>
      </w:r>
      <w:r>
        <w:rPr>
          <w:rFonts w:ascii="Times New Roman" w:hAnsi="Times New Roman"/>
          <w:b w:val="false"/>
          <w:i w:val="false"/>
          <w:color w:val="000000"/>
          <w:sz w:val="22"/>
        </w:rPr>
        <w:t> </w:t>
      </w:r>
      <w:r>
        <w:rPr>
          <w:rFonts w:ascii="Times New Roman" w:hAnsi="Times New Roman"/>
          <w:b w:val="false"/>
          <w:i/>
          <w:color w:val="000000"/>
          <w:sz w:val="22"/>
        </w:rPr>
        <w:t xml:space="preserve">Injurious wildlife species. </w:t>
      </w:r>
      <w:r>
        <w:rPr>
          <w:rFonts w:ascii="Times New Roman" w:hAnsi="Times New Roman"/>
          <w:b w:val="false"/>
          <w:i w:val="false"/>
          <w:color w:val="000000"/>
          <w:sz w:val="22"/>
        </w:rPr>
        <w:t>For purposes of this rule, aquatic species listed in Code of Federal Regulations, Title 50, Section 16.11 through 16.15, are also designated as aquatic invasive species.</w:t>
      </w:r>
    </w:p>
    <w:p>
      <w:pPr>
        <w:spacing w:before="0" w:after="0"/>
        <w:ind w:left="120"/>
        <w:jc w:val="both"/>
      </w:pPr>
      <w:r>
        <w:rPr>
          <w:rFonts w:ascii="Times New Roman" w:hAnsi="Times New Roman"/>
          <w:b/>
          <w:i w:val="false"/>
          <w:color w:val="000000"/>
          <w:sz w:val="22"/>
        </w:rPr>
        <w:t>571—90.3</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introduce, import, purchase, sell, barter, propagate, or transport aquatic invasive species in any form in this state,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written permission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disposal as part of a harvest or control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transported to the department, or to another destination as directed by the department, in a sealed container for purposes of identifying the species or reporting the presence of the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specimen has been lawfully acquired dead and, in the case of plant species, when all seeds are removed or are otherwise secured in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form of herbaria or other preserved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removed from watercraft and equipment, or when a species is caught by an angler and immediately returned to the water from which it came;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an individual angler possesses a species that has been caught and immediately killed.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A conservation officer, other licensed peace officer, or employee of the department may seize or dispose of all specimens of aquatic invasive species unlawfully possessed, introduced, imported, purchased, sold, bartered, propagated, or transported in the state.</w:t>
      </w:r>
    </w:p>
    <w:p>
      <w:pPr>
        <w:spacing w:before="0" w:after="0"/>
        <w:ind w:left="120"/>
        <w:jc w:val="both"/>
      </w:pPr>
      <w:r>
        <w:rPr>
          <w:rFonts w:ascii="Times New Roman" w:hAnsi="Times New Roman"/>
          <w:b/>
          <w:i w:val="false"/>
          <w:color w:val="000000"/>
          <w:sz w:val="22"/>
        </w:rPr>
        <w:t>571—90.4</w:t>
      </w:r>
      <w:r>
        <w:rPr>
          <w:rFonts w:ascii="Times New Roman" w:hAnsi="Times New Roman"/>
          <w:b/>
          <w:i w:val="false"/>
          <w:color w:val="000000"/>
          <w:sz w:val="22"/>
        </w:rPr>
        <w:t xml:space="preserve">(456A) </w:t>
      </w:r>
      <w:r>
        <w:rPr>
          <w:rFonts w:ascii="Times New Roman" w:hAnsi="Times New Roman"/>
          <w:b/>
          <w:i w:val="false"/>
          <w:color w:val="000000"/>
          <w:sz w:val="22"/>
        </w:rPr>
        <w:t xml:space="preserve">Infested waters.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infested waters. </w:t>
      </w:r>
      <w:r>
        <w:rPr>
          <w:rFonts w:ascii="Times New Roman" w:hAnsi="Times New Roman"/>
          <w:b w:val="false"/>
          <w:i w:val="false"/>
          <w:color w:val="000000"/>
          <w:sz w:val="22"/>
        </w:rPr>
        <w:t>The department shall designate infested waters of the state. The department shall publish the names of infested waters in the fishing regulations brochure each year and provide notice through other available means where practical. At any time, the department may designate additional waters or remove from designation those waters that are no longer infested.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Restricted activities on infested waters. </w:t>
      </w:r>
      <w:r>
        <w:rPr>
          <w:rFonts w:ascii="Times New Roman" w:hAnsi="Times New Roman"/>
          <w:b w:val="false"/>
          <w:i w:val="false"/>
          <w:color w:val="000000"/>
          <w:sz w:val="22"/>
        </w:rPr>
        <w:t>The department may restrict boating, fishing, swimming, and trapping in infested waters of the state. When determining when to restrict activities in infested waters, the department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of a species’ distribution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likely means of spread for a new species;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restrictions specific to infested waters containing a specific species will effectively reduce that species’ spread.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456A.37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House File 2357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11/17/04, Notice 9/1/04—published 12/8/04, effective 1/12/05]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6A.3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