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FOR PUBLIC IMPROVEMENTS AND PROFESSIONAL SERVICES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Code, as amended through March 20, 2009.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4/8/09, effective 3/20/09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8/2/77, Notice 5/4/77—published 8/24/77, effective 9/28/77]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1/5/84, Notice 11/23/83—published 2/1/84, effective 3/7/84]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9/2/88, Notice 3/23/88—published 9/21/88, effective 10/26/88]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4/26/91, Notice 2/20/91—published 5/15/91, effective 6/19/91]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7682B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7535B, IAB 1/28/09)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4/8/09, effective 3/20/09]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