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72</w:t>
      </w:r>
    </w:p>
    <w:p>
      <w:pPr>
        <w:spacing w:before="0" w:after="0"/>
        <w:ind w:left="120"/>
        <w:jc w:val="center"/>
      </w:pPr>
      <w:r>
        <w:rPr>
          <w:rFonts w:ascii="Times New Roman" w:hAnsi="Times New Roman"/>
          <w:b w:val="false"/>
          <w:i w:val="false"/>
          <w:color w:val="000000"/>
          <w:sz w:val="21"/>
        </w:rPr>
        <w:t>TIMBER BUYERS</w:t>
      </w:r>
    </w:p>
    <w:p>
      <w:pPr>
        <w:spacing w:before="0" w:after="0"/>
        <w:ind w:left="120"/>
        <w:jc w:val="center"/>
      </w:pPr>
      <w:r>
        <w:rPr>
          <w:rFonts w:ascii="Times New Roman" w:hAnsi="Times New Roman"/>
          <w:b w:val="false"/>
          <w:i w:val="false"/>
          <w:color w:val="000000"/>
          <w:sz w:val="14"/>
        </w:rPr>
        <w:t>[Prior to 12/31/86, Conservation Commission[290] Ch 49]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571—72.1</w:t>
      </w:r>
      <w:r>
        <w:rPr>
          <w:rFonts w:ascii="Times New Roman" w:hAnsi="Times New Roman"/>
          <w:b/>
          <w:i w:val="false"/>
          <w:color w:val="000000"/>
          <w:sz w:val="22"/>
        </w:rPr>
        <w:t xml:space="preserve">(456A)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“Collateral bond” </w:t>
      </w:r>
      <w:r>
        <w:rPr>
          <w:rFonts w:ascii="Times New Roman" w:hAnsi="Times New Roman"/>
          <w:b w:val="false"/>
          <w:i w:val="false"/>
          <w:color w:val="000000"/>
          <w:sz w:val="22"/>
        </w:rPr>
        <w:t>means a bond signed by the timber buyer as principal and accompanied by a bank certificate of deposit.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“Corporate surety bond” </w:t>
      </w:r>
      <w:r>
        <w:rPr>
          <w:rFonts w:ascii="Times New Roman" w:hAnsi="Times New Roman"/>
          <w:b w:val="false"/>
          <w:i w:val="false"/>
          <w:color w:val="000000"/>
          <w:sz w:val="22"/>
        </w:rPr>
        <w:t>means a bond signed by the timber buyer as principal and a corporate surety authorized to engage in the business of executing surety bonds within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natural resources or the administrator of the division of forests and forestry who has been designated to act for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“Proof of ownership” </w:t>
      </w:r>
      <w:r>
        <w:rPr>
          <w:rFonts w:ascii="Times New Roman" w:hAnsi="Times New Roman"/>
          <w:b w:val="false"/>
          <w:i w:val="false"/>
          <w:color w:val="000000"/>
          <w:sz w:val="22"/>
        </w:rPr>
        <w:t>means a timber sale contract; bill of sale or bill of lading showing owner’s name, address, and telephone number, point of origin, and destination.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“The Act” </w:t>
      </w:r>
      <w:r>
        <w:rPr>
          <w:rFonts w:ascii="Times New Roman" w:hAnsi="Times New Roman"/>
          <w:b w:val="false"/>
          <w:i w:val="false"/>
          <w:color w:val="000000"/>
          <w:sz w:val="22"/>
        </w:rPr>
        <w:t xml:space="preserve">means Iowa Code section </w:t>
      </w:r>
      <w:hyperlink r:id="rId5">
        <w:r>
          <w:rPr>
            <w:rStyle w:val="Hyperlink"/>
            <w:rFonts w:ascii="Times New Roman" w:hAnsi="Times New Roman"/>
            <w:b w:val="false"/>
            <w:i w:val="false"/>
            <w:color w:val="000000"/>
            <w:sz w:val="22"/>
          </w:rPr>
          <w:t>456A.36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“Timber buyer” </w:t>
      </w:r>
      <w:r>
        <w:rPr>
          <w:rFonts w:ascii="Times New Roman" w:hAnsi="Times New Roman"/>
          <w:b w:val="false"/>
          <w:i w:val="false"/>
          <w:color w:val="000000"/>
          <w:sz w:val="22"/>
        </w:rPr>
        <w:t>means a person engaged in the business of buying timber from the timber growers for sawing into lumber for processing or resale, but does not include a person who occasionally purchases timber for sawing or processing for the person’s own use and not for resale. Timber buyer includes a person who contracts with a timber grower on a shared-profit basis to harvest timber from the grower’s land.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“Timber buyer surety bond” </w:t>
      </w:r>
      <w:r>
        <w:rPr>
          <w:rFonts w:ascii="Times New Roman" w:hAnsi="Times New Roman"/>
          <w:b w:val="false"/>
          <w:i w:val="false"/>
          <w:color w:val="000000"/>
          <w:sz w:val="22"/>
        </w:rPr>
        <w:t>means a bond signed by the timber buyer as principal, bonding the timber buyer to the commission for the performance under the Act.</w:t>
      </w:r>
    </w:p>
    <w:p>
      <w:pPr>
        <w:spacing w:before="0" w:after="0"/>
        <w:ind w:left="120"/>
        <w:jc w:val="both"/>
      </w:pPr>
      <w:r>
        <w:rPr>
          <w:rFonts w:ascii="Times New Roman" w:hAnsi="Times New Roman"/>
          <w:b/>
          <w:i w:val="false"/>
          <w:color w:val="000000"/>
          <w:sz w:val="22"/>
        </w:rPr>
        <w:t>571—72.2</w:t>
      </w:r>
      <w:r>
        <w:rPr>
          <w:rFonts w:ascii="Times New Roman" w:hAnsi="Times New Roman"/>
          <w:b/>
          <w:i w:val="false"/>
          <w:color w:val="000000"/>
          <w:sz w:val="22"/>
        </w:rPr>
        <w:t xml:space="preserve">(456A) </w:t>
      </w:r>
      <w:r>
        <w:rPr>
          <w:rFonts w:ascii="Times New Roman" w:hAnsi="Times New Roman"/>
          <w:b/>
          <w:i w:val="false"/>
          <w:color w:val="000000"/>
          <w:sz w:val="22"/>
        </w:rPr>
        <w:t xml:space="preserve">Applicability of rules.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72.2(1)</w:t>
      </w:r>
      <w:r>
        <w:rPr>
          <w:rFonts w:ascii="Times New Roman" w:hAnsi="Times New Roman"/>
          <w:b w:val="false"/>
          <w:i w:val="false"/>
          <w:color w:val="000000"/>
          <w:sz w:val="22"/>
        </w:rPr>
        <w:t> </w:t>
      </w:r>
      <w:r>
        <w:rPr>
          <w:rFonts w:ascii="Times New Roman" w:hAnsi="Times New Roman"/>
          <w:b w:val="false"/>
          <w:i/>
          <w:color w:val="000000"/>
          <w:sz w:val="22"/>
        </w:rPr>
        <w:t xml:space="preserve">Duty to file.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On and after January 1, 1981, no person shall engage in the business of timber buying in the state of Iowa unless the timber buyer shall have on file with the department a bond and application for bond approval in compliance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Timber buying. </w:t>
      </w:r>
      <w:r>
        <w:rPr>
          <w:rFonts w:ascii="Times New Roman" w:hAnsi="Times New Roman"/>
          <w:b w:val="false"/>
          <w:i w:val="false"/>
          <w:color w:val="000000"/>
          <w:sz w:val="22"/>
        </w:rPr>
        <w:t xml:space="preserve">All persons engaged in the business of timber buying shall file prior to engaging in business as a timber buyer, a bond complying with these rules and an application for bond approval as specified in </w:t>
      </w:r>
      <w:hyperlink r:id="rId6">
        <w:r>
          <w:rPr>
            <w:rStyle w:val="Hyperlink"/>
            <w:rFonts w:ascii="Times New Roman" w:hAnsi="Times New Roman"/>
            <w:b w:val="false"/>
            <w:i w:val="false"/>
            <w:color w:val="000000"/>
            <w:sz w:val="22"/>
          </w:rPr>
          <w:t>rules 72.2(456A)</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72.3(456A)</w:t>
        </w:r>
      </w:hyperlink>
      <w:r>
        <w:rPr>
          <w:rFonts w:ascii="Times New Roman" w:hAnsi="Times New Roman"/>
          <w:b w:val="false"/>
          <w:i w:val="false"/>
          <w:color w:val="000000"/>
          <w:sz w:val="22"/>
        </w:rPr>
        <w:t xml:space="preserve"> of this chapter. Should the department determine that the bond or application, although in substantial compliance, is insufficient to comply with the law, it shall provide notice by certified mail, return receipt requested. The timber buyer will be given 20 days to correct the insufficiency. If not corrected within that time period, or within an additional time period approved by the director, the timber buyer shall be deemed to be in violation of the Act and of these rules. If the department determines that the bond or application does not substantially comply with the Act or these rules, it shall immediately notify the timber buyer that the filing does not satisfy the statutory requirements for filing a bond or surety and that the buyer may not lawfully engage in the business of timber buying until a bond has been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Date of filing. </w:t>
      </w:r>
      <w:r>
        <w:rPr>
          <w:rFonts w:ascii="Times New Roman" w:hAnsi="Times New Roman"/>
          <w:b w:val="false"/>
          <w:i w:val="false"/>
          <w:color w:val="000000"/>
          <w:sz w:val="22"/>
        </w:rPr>
        <w:t>For purposes of this rule, the date of filing shall be the date on which the materials are received by the department or the date postmarked, if mailed.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72.2(2)</w:t>
      </w:r>
      <w:r>
        <w:rPr>
          <w:rFonts w:ascii="Times New Roman" w:hAnsi="Times New Roman"/>
          <w:b w:val="false"/>
          <w:i w:val="false"/>
          <w:color w:val="000000"/>
          <w:sz w:val="22"/>
        </w:rPr>
        <w:t> </w:t>
      </w:r>
      <w:r>
        <w:rPr>
          <w:rFonts w:ascii="Times New Roman" w:hAnsi="Times New Roman"/>
          <w:b w:val="false"/>
          <w:i/>
          <w:color w:val="000000"/>
          <w:sz w:val="22"/>
        </w:rPr>
        <w:t xml:space="preserve">Filing of required forms.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for Bond Approval, Form NRC72-1.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Form NRC72-1 shall be filed as a single copy with the Division Administrator, Forests and Forestry Division, Department of Natural Resources, Wallace State Office Building,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Form NRC72-1 shall be filed prior to buying timber from timber growers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Form NRC72-1 shall be refiled annually by January 1 of each calendar year the timber buyer will be engaged in the business of buying timber from timber growers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timber buyer shall report the amount of dollars paid to timber growers in one of the following ways; (1) for the timber buyer’s most recently completed fiscal or business year, or (2) for the 12 months preceding the filing of the application for bond approval and bond.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Forms are available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Corporate Surety Bond, Form NRC72-2.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Form NRC72-2 shall be filed as a single copy with Division Administrator, Forests and Forestry Division, Department of Natural Resources, Wallace State Office Building, Des Moines, Iowa 50319, at the same time as the application for bond approval, unless a collateral bond and bank certificate of deposit are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Form NRC72-2 shall be filed prior to buying timber from timber growers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Form NRC72-2 shall be in the amount determined by the timber buyer and reported to the department by the timber buyer on Form NRC72-1, Application for Bond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Forms are available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Timber Buyer Surety Bond, Form NRC72-3.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Form NRC72-3 shall be filed as a single copy at the same time as the collateral assignment of certificate of deposit, Form NRC72-4, and the bank certificate of deposit, with the Division Administrator, Forests and Forestry Division, Department of Natural Resources, Wallace State Office Building,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Form NRC72-3 shall be filed prior to buying timber from timber growers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Forms are available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Collateral Assignment of Certificate of Deposit, Form NRC72-4.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Form NRC72-4 shall be filed as a single copy with the Division Administrator, Forests and Forestry Division, Department of Natural Resources, Wallace State Office Building, Des Moines, Iowa 50319, unless a surety bond is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Form NRC72-4 shall be filed prior to buying timber from timber growers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Form NRC72-4 shall be accompanied by a bank certificate of deposit in the amount determined by the timber buyer and reported to the department by the timber buyer on the Application for Bond Approval, Form NRC72-1, and by Timber Buyer Surety Bond, Form NRC72-3.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Forms are available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Verified Application for Release of Bond and Certificate of Deposit, Form NRC72-5.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Form NRC72-5 shall be filed with the Division Administrator, Forests and Forestry Division, Department of Natural Resources, Wallace State Office Building, Des Moines, Iowa 50319, by timber buyers who wish the release of their certificate of deposit being held by the department in lieu of a surety bond because that person wishes to replace it with a surety bond or because that person no longer wishes to stay in the timber buying business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Forms are available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filings must be on approved department forms.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72.2(3)</w:t>
      </w:r>
      <w:r>
        <w:rPr>
          <w:rFonts w:ascii="Times New Roman" w:hAnsi="Times New Roman"/>
          <w:b w:val="false"/>
          <w:i w:val="false"/>
          <w:color w:val="000000"/>
          <w:sz w:val="22"/>
        </w:rPr>
        <w:t> </w:t>
      </w:r>
      <w:r>
        <w:rPr>
          <w:rFonts w:ascii="Times New Roman" w:hAnsi="Times New Roman"/>
          <w:b w:val="false"/>
          <w:i/>
          <w:color w:val="000000"/>
          <w:sz w:val="22"/>
        </w:rPr>
        <w:t xml:space="preserve">Terms and conditions of bank certificate of deposit and collateral bond. </w:t>
      </w:r>
      <w:r>
        <w:rPr>
          <w:rFonts w:ascii="Times New Roman" w:hAnsi="Times New Roman"/>
          <w:b w:val="false"/>
          <w:i w:val="false"/>
          <w:color w:val="000000"/>
          <w:sz w:val="22"/>
        </w:rPr>
        <w:t>Collateral bonds shall be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obtain possession of and keep in custody all collateral deposited by the timber buyer, until released or replaced.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Certificates of deposit shall be assigned to the department, in writing, and upon the books of the bank issuing such certificates.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Banks issuing these certificates shall waive all rights of setoff or liens which they have or might have against those certificates.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Certificates of deposit shall be automatically renewed unless the director approves release of the funds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funds shall be made payable upon demand to the director, subject to the provisions of the Act, for the use and benefit of the people of the state and for the use and benefit of a timber grower whose timber has been cut by the timber buyer or the timber buyer’s agents, and who has not been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timber buyer may, upon 60 days’ written notice to the department, provide a surety bond in lieu of the certificate of deposit and collateral bond.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certificate of deposit and collateral bond will be kept in custody by the department for one year beyond the date of presentation by the timber buyer of a surety bond in lieu of certificate of deposit and collateral bond or upon written notice to the department of termination of the business of buying timber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72.2(4)</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the bond amount.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standard applied by the department in determining the amount of the bond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bond shall be in the principal amount of 10 percent of the total amount paid to timber growers during the preceding year, plus 10 percent of the total amount due or delinquent and unpaid to timber growers at the end of the preceding year, and 10 percent of the market value of growers’ share of timber harvested during the previous year. However, the total amount of the bond shall be not less than $3,000 and no more than $15,000.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the case of a timber buyer not previously engaged in business as a timber buyer, the amount of the bond shall be based on the estimated dollar amount to be paid by the timber buyer to timber growers for timber purchased during the next succeeding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determining the amount of the bond, the department shall consider only amounts paid or estimated to be paid, to Iowa timber growers.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timber buyer is responsible for maintaining the proper amount of bond to comply with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Change in bond amount. If the amount of the bond, as determined under this section, has changed from that of the existing bond on file, the timber buyer shall enclose a rider to the bond or an additional certificate of deposit as necessary to increase the amount of bonding to meet the required amount for the new year or may request approval of a substituted bond or certificate of deposit if the amount required for future bonding is reduced.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72.2(5)</w:t>
      </w:r>
      <w:r>
        <w:rPr>
          <w:rFonts w:ascii="Times New Roman" w:hAnsi="Times New Roman"/>
          <w:b w:val="false"/>
          <w:i w:val="false"/>
          <w:color w:val="000000"/>
          <w:sz w:val="22"/>
        </w:rPr>
        <w:t> </w:t>
      </w:r>
      <w:r>
        <w:rPr>
          <w:rFonts w:ascii="Times New Roman" w:hAnsi="Times New Roman"/>
          <w:b w:val="false"/>
          <w:i/>
          <w:color w:val="000000"/>
          <w:sz w:val="22"/>
        </w:rPr>
        <w:t xml:space="preserve">Release of collateral bond and certificate of deposit. </w:t>
      </w:r>
      <w:r>
        <w:rPr>
          <w:rFonts w:ascii="Times New Roman" w:hAnsi="Times New Roman"/>
          <w:b w:val="false"/>
          <w:i w:val="false"/>
          <w:color w:val="000000"/>
          <w:sz w:val="22"/>
        </w:rPr>
        <w:t>The timber buyer or any person authorized to act on behalf of the timber buyer, may file Form NRC72-5, Verified Application for Release of Bond and Certificate of Deposit with the department for release of the security and the department will respond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timber buyer replaces the certificate of deposit and collateral assignment with a surety bond, the department will release the certificate of deposit and collateral assignment to the timber buyer or the timber buyer’s authorized representative one year after the timber buyer files a surety bond, if no known claims on the collateral bond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timber buyer no longer wishes to stay in the timber buying business in Iowa, the department will hold the verified application for 12 months from the date of receipt and after that time release the certificate of deposit and collateral bond to the timber buyer or the timber buyer’s authorized representative by certified mail or in person, if no known claims on the collateral bond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Should any person be adversely affected by the release of the collateral bond, that person may file a written request with the department to obtain notice of any application by the timber buyer for release of collateral bond. The request shall give name, mailing address, and the reason why that party would be affected.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72.2(6)</w:t>
      </w:r>
      <w:r>
        <w:rPr>
          <w:rFonts w:ascii="Times New Roman" w:hAnsi="Times New Roman"/>
          <w:b w:val="false"/>
          <w:i w:val="false"/>
          <w:color w:val="000000"/>
          <w:sz w:val="22"/>
        </w:rPr>
        <w:t> </w:t>
      </w:r>
      <w:r>
        <w:rPr>
          <w:rFonts w:ascii="Times New Roman" w:hAnsi="Times New Roman"/>
          <w:b w:val="false"/>
          <w:i/>
          <w:color w:val="000000"/>
          <w:sz w:val="22"/>
        </w:rPr>
        <w:t xml:space="preserve">Use of bond proceeds when the bond is forfeited. </w:t>
      </w:r>
      <w:r>
        <w:rPr>
          <w:rFonts w:ascii="Times New Roman" w:hAnsi="Times New Roman"/>
          <w:b w:val="false"/>
          <w:i w:val="false"/>
          <w:color w:val="000000"/>
          <w:sz w:val="22"/>
        </w:rPr>
        <w:t>If the department realizes more than the amount of the liability from the security, after deducting expenses including all costs and expenses of the state in forfeiture proceedings and incurred by the state in converting the security into money, the department shall pay the excess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Certificate of deposit excess will be paid to the timber buyer who furnished the security.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Surety bond excess will be paid to the corporate surety.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72.2(7)</w:t>
      </w:r>
      <w:r>
        <w:rPr>
          <w:rFonts w:ascii="Times New Roman" w:hAnsi="Times New Roman"/>
          <w:b w:val="false"/>
          <w:i w:val="false"/>
          <w:color w:val="000000"/>
          <w:sz w:val="22"/>
        </w:rPr>
        <w:t> </w:t>
      </w:r>
      <w:r>
        <w:rPr>
          <w:rFonts w:ascii="Times New Roman" w:hAnsi="Times New Roman"/>
          <w:b w:val="false"/>
          <w:i/>
          <w:color w:val="000000"/>
          <w:sz w:val="22"/>
        </w:rPr>
        <w:t xml:space="preserve">Requests for confidential treatment. </w:t>
      </w:r>
      <w:r>
        <w:rPr>
          <w:rFonts w:ascii="Times New Roman" w:hAnsi="Times New Roman"/>
          <w:b w:val="false"/>
          <w:i w:val="false"/>
          <w:color w:val="000000"/>
          <w:sz w:val="22"/>
        </w:rPr>
        <w:t xml:space="preserve">If any person filing a document with the director for use in carrying out the responsibilities under the Act relating to timber buyer bonding claims that some or all the information contained in the document is exempted from disclosure by Iowa Code chapter </w:t>
      </w:r>
      <w:hyperlink r:id="rId8">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or is otherwise exempt by law from public disclosure, and if the person requests the director not to disclose this information, the person shall file together with the document a second copy of the document from which has been deleted the information for which confidential treatment is claimed. The person shall conspicuously indicate on the face of the original document that it is confidential information and shall file a statement specifying the justification of nondisclosure of the information for which confidential treatment is claimed. If the person filing a document does not submit a second copy of the document with the confidential information deleted, the director may assume that there is no objection to public disclosure of the document in its entirety.</w:t>
      </w:r>
    </w:p>
    <w:p>
      <w:pPr>
        <w:spacing w:before="0" w:after="0"/>
        <w:ind w:left="120"/>
        <w:jc w:val="both"/>
      </w:pPr>
      <w:r>
        <w:rPr>
          <w:rFonts w:ascii="Times New Roman" w:hAnsi="Times New Roman"/>
          <w:b w:val="false"/>
          <w:i w:val="false"/>
          <w:color w:val="000000"/>
          <w:sz w:val="22"/>
        </w:rPr>
        <w:t>The director retains the right to make a determination with regard to any claim of confidentiality. Notice of the decision by the director to deny a claim, in whole or in part, and an opportunity to respond shall be given to a person claiming confidentiality of information no less than five days if possible prior to its public disclosure, or placement in files open to the public.</w:t>
      </w:r>
    </w:p>
    <w:p>
      <w:pPr>
        <w:spacing w:before="0" w:after="0"/>
        <w:ind w:left="120"/>
        <w:jc w:val="both"/>
      </w:pPr>
      <w:r>
        <w:rPr>
          <w:rFonts w:ascii="Times New Roman" w:hAnsi="Times New Roman"/>
          <w:b/>
          <w:i w:val="false"/>
          <w:color w:val="000000"/>
          <w:sz w:val="22"/>
        </w:rPr>
        <w:t>571—72.3</w:t>
      </w:r>
      <w:r>
        <w:rPr>
          <w:rFonts w:ascii="Times New Roman" w:hAnsi="Times New Roman"/>
          <w:b/>
          <w:i w:val="false"/>
          <w:color w:val="000000"/>
          <w:sz w:val="22"/>
        </w:rPr>
        <w:t xml:space="preserve">(456A) </w:t>
      </w:r>
      <w:r>
        <w:rPr>
          <w:rFonts w:ascii="Times New Roman" w:hAnsi="Times New Roman"/>
          <w:b/>
          <w:i w:val="false"/>
          <w:color w:val="000000"/>
          <w:sz w:val="22"/>
        </w:rPr>
        <w:t xml:space="preserve">Forms.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72.3(1)</w:t>
      </w:r>
      <w:r>
        <w:rPr>
          <w:rFonts w:ascii="Times New Roman" w:hAnsi="Times New Roman"/>
          <w:b w:val="false"/>
          <w:i w:val="false"/>
          <w:color w:val="000000"/>
          <w:sz w:val="22"/>
        </w:rPr>
        <w:t> </w:t>
      </w:r>
      <w:r>
        <w:rPr>
          <w:rFonts w:ascii="Times New Roman" w:hAnsi="Times New Roman"/>
          <w:b w:val="false"/>
          <w:i/>
          <w:color w:val="000000"/>
          <w:sz w:val="22"/>
        </w:rPr>
        <w:t xml:space="preserve">Required forms. </w:t>
      </w:r>
      <w:r>
        <w:rPr>
          <w:rFonts w:ascii="Times New Roman" w:hAnsi="Times New Roman"/>
          <w:b w:val="false"/>
          <w:i w:val="false"/>
          <w:color w:val="000000"/>
          <w:sz w:val="22"/>
        </w:rPr>
        <w:t>The forms required for use of timber buyers in complying with this chapter shall be available from the Department of Natural Resources. The forms are as follows:</w:t>
      </w:r>
    </w:p>
    <w:tbl>
      <w:tblPr>
        <w:tblW w:w="5000" w:type="pct"/>
        <w:tblCellSpacing w:w="0" w:type="auto"/>
        <w:tblBorders>
          <w:top w:val="none"/>
          <w:left w:val="none"/>
          <w:bottom w:val="none"/>
          <w:right w:val="none"/>
          <w:insideH w:val="none"/>
          <w:insideV w:val="none"/>
        </w:tblBorders>
        <w:tblLayout w:type="fixed"/>
      </w:tblPr>
      <w:tblGrid>
        <w:gridCol w:w="3559"/>
        <w:gridCol w:w="7630"/>
      </w:tblGrid>
      <w:tr>
        <w:trPr>
          <w:trHeight w:val="210" w:hRule="atLeast"/>
        </w:trPr>
        <w:tc>
          <w:tcPr>
            <w:tcW w:w="3559" w:type="dxa"/>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6"/>
              </w:rPr>
              <w:t>NRC72-1</w:t>
            </w:r>
          </w:p>
        </w:tc>
        <w:tc>
          <w:tcPr>
            <w:tcW w:w="76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APPLICATION FOR BOND (Revised 8/96)</w:t>
            </w:r>
          </w:p>
        </w:tc>
      </w:tr>
      <w:tr>
        <w:trPr>
          <w:trHeight w:val="210" w:hRule="atLeast"/>
        </w:trPr>
        <w:tc>
          <w:tcPr>
            <w:tcW w:w="3559" w:type="dxa"/>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6"/>
              </w:rPr>
              <w:t>NRC72-2</w:t>
            </w:r>
          </w:p>
        </w:tc>
        <w:tc>
          <w:tcPr>
            <w:tcW w:w="76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CORPORATE SURETY BOND COVERING</w:t>
            </w:r>
          </w:p>
        </w:tc>
      </w:tr>
      <w:tr>
        <w:trPr>
          <w:trHeight w:val="570" w:hRule="atLeast"/>
        </w:trPr>
        <w:tc>
          <w:tcPr>
            <w:tcW w:w="35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6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THE PURCHASE OF TIMBER FROM TIMBER</w:t>
            </w:r>
          </w:p>
          <w:p>
            <w:pPr>
              <w:spacing w:before="0" w:after="0"/>
              <w:ind w:left="160"/>
              <w:jc w:val="left"/>
            </w:pPr>
            <w:r>
              <w:rPr>
                <w:rFonts w:ascii="Times New Roman" w:hAnsi="Times New Roman"/>
                <w:b w:val="false"/>
                <w:i w:val="false"/>
                <w:color w:val="000000"/>
                <w:sz w:val="16"/>
              </w:rPr>
              <w:t>GROWERS BY TIMBER BUYER OR BUYER’S</w:t>
            </w:r>
          </w:p>
          <w:p>
            <w:pPr>
              <w:spacing w:before="0" w:after="0"/>
              <w:ind w:left="160"/>
              <w:jc w:val="left"/>
            </w:pPr>
            <w:r>
              <w:rPr>
                <w:rFonts w:ascii="Times New Roman" w:hAnsi="Times New Roman"/>
                <w:b w:val="false"/>
                <w:i w:val="false"/>
                <w:color w:val="000000"/>
                <w:sz w:val="16"/>
              </w:rPr>
              <w:t>AGENT (Revised 8/96)</w:t>
            </w:r>
          </w:p>
        </w:tc>
      </w:tr>
      <w:tr>
        <w:trPr>
          <w:trHeight w:val="390" w:hRule="atLeast"/>
        </w:trPr>
        <w:tc>
          <w:tcPr>
            <w:tcW w:w="3559" w:type="dxa"/>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6"/>
              </w:rPr>
              <w:t>NRC72-3</w:t>
            </w:r>
          </w:p>
        </w:tc>
        <w:tc>
          <w:tcPr>
            <w:tcW w:w="76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TIMBER BUYER SURETY BOND (USING A</w:t>
            </w:r>
          </w:p>
          <w:p>
            <w:pPr>
              <w:spacing w:before="0" w:after="0"/>
              <w:ind w:left="160"/>
              <w:jc w:val="left"/>
            </w:pPr>
            <w:r>
              <w:rPr>
                <w:rFonts w:ascii="Times New Roman" w:hAnsi="Times New Roman"/>
                <w:b w:val="false"/>
                <w:i w:val="false"/>
                <w:color w:val="000000"/>
                <w:sz w:val="16"/>
              </w:rPr>
              <w:t>CERTIFICATE OF DEPOSIT) GOVERNING THE</w:t>
            </w:r>
          </w:p>
        </w:tc>
      </w:tr>
      <w:tr>
        <w:trPr>
          <w:trHeight w:val="390" w:hRule="atLeast"/>
        </w:trPr>
        <w:tc>
          <w:tcPr>
            <w:tcW w:w="35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6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PURCHASE OF TIMBER FROM TIMBER GROWERS</w:t>
            </w:r>
          </w:p>
          <w:p>
            <w:pPr>
              <w:spacing w:before="0" w:after="0"/>
              <w:ind w:left="160"/>
              <w:jc w:val="left"/>
            </w:pPr>
            <w:r>
              <w:rPr>
                <w:rFonts w:ascii="Times New Roman" w:hAnsi="Times New Roman"/>
                <w:b w:val="false"/>
                <w:i w:val="false"/>
                <w:color w:val="000000"/>
                <w:sz w:val="16"/>
              </w:rPr>
              <w:t>BY BUYER OR BUYER’S AGENT (Revised 8/96)</w:t>
            </w:r>
          </w:p>
        </w:tc>
      </w:tr>
      <w:tr>
        <w:trPr>
          <w:trHeight w:val="390" w:hRule="atLeast"/>
        </w:trPr>
        <w:tc>
          <w:tcPr>
            <w:tcW w:w="3559" w:type="dxa"/>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6"/>
              </w:rPr>
              <w:t>NRC72-4</w:t>
            </w:r>
          </w:p>
        </w:tc>
        <w:tc>
          <w:tcPr>
            <w:tcW w:w="76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COLLATERAL ASSIGNMENT OF CERTIFICATE</w:t>
            </w:r>
          </w:p>
          <w:p>
            <w:pPr>
              <w:spacing w:before="0" w:after="0"/>
              <w:ind w:left="160"/>
              <w:jc w:val="left"/>
            </w:pPr>
            <w:r>
              <w:rPr>
                <w:rFonts w:ascii="Times New Roman" w:hAnsi="Times New Roman"/>
                <w:b w:val="false"/>
                <w:i w:val="false"/>
                <w:color w:val="000000"/>
                <w:sz w:val="16"/>
              </w:rPr>
              <w:t>OF DEPOSIT (Revised 8/96)</w:t>
            </w:r>
          </w:p>
        </w:tc>
      </w:tr>
      <w:tr>
        <w:trPr>
          <w:trHeight w:val="390" w:hRule="atLeast"/>
        </w:trPr>
        <w:tc>
          <w:tcPr>
            <w:tcW w:w="3559" w:type="dxa"/>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6"/>
              </w:rPr>
              <w:t>NRC72-5</w:t>
            </w:r>
          </w:p>
        </w:tc>
        <w:tc>
          <w:tcPr>
            <w:tcW w:w="76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VERIFICATION APPLICATION FOR RELEASE OF</w:t>
            </w:r>
          </w:p>
          <w:p>
            <w:pPr>
              <w:spacing w:before="0" w:after="0"/>
              <w:ind w:left="160"/>
              <w:jc w:val="left"/>
            </w:pPr>
            <w:r>
              <w:rPr>
                <w:rFonts w:ascii="Times New Roman" w:hAnsi="Times New Roman"/>
                <w:b w:val="false"/>
                <w:i w:val="false"/>
                <w:color w:val="000000"/>
                <w:sz w:val="16"/>
              </w:rPr>
              <w:t>BOND AND CERTIFICATE OF DEPOSIT (Revised 8/96)</w:t>
            </w:r>
          </w:p>
        </w:tc>
      </w:tr>
    </w:tbl>
    <w:p>
      <w:pPr>
        <w:spacing w:before="0" w:after="0"/>
        <w:ind w:left="120"/>
        <w:jc w:val="both"/>
      </w:pPr>
      <w:r>
        <w:rPr>
          <w:rFonts w:ascii="Times New Roman" w:hAnsi="Times New Roman"/>
          <w:b w:val="false"/>
          <w:i w:val="false"/>
          <w:color w:val="000000"/>
          <w:sz w:val="22"/>
        </w:rPr>
        <w:t>Copies of the forms may be obtained by writing Division Administrator, Forests and Forestry Division, Department of Natural Resources, Wallace State Office Building, Des Moines, Iowa 50319, or by calling (515)281-5981.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
        <w:r>
          <w:rPr>
            <w:rStyle w:val="Hyperlink"/>
            <w:rFonts w:ascii="Times New Roman" w:hAnsi="Times New Roman"/>
            <w:b w:val="false"/>
            <w:i w:val="false"/>
            <w:color w:val="000000"/>
            <w:sz w:val="22"/>
          </w:rPr>
          <w:t>456A.24</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456A.36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11/7/80, Notice 9/17/80—published 11/26/80, effective 1/1/81]</w:t>
      </w:r>
    </w:p>
    <w:p>
      <w:pPr>
        <w:spacing w:before="0" w:after="0"/>
        <w:ind w:left="120"/>
        <w:jc w:val="center"/>
      </w:pPr>
      <w:r>
        <w:rPr>
          <w:rFonts w:ascii="Times New Roman" w:hAnsi="Times New Roman"/>
          <w:b w:val="false"/>
          <w:i w:val="false"/>
          <w:color w:val="000000"/>
          <w:sz w:val="21"/>
        </w:rPr>
        <w:t>[Filed emergency 8/8/85—published 8/28/85, effective 8/28/85]</w:t>
      </w:r>
    </w:p>
    <w:p>
      <w:pPr>
        <w:spacing w:before="0" w:after="0"/>
        <w:ind w:left="120"/>
        <w:jc w:val="center"/>
      </w:pPr>
      <w:r>
        <w:rPr>
          <w:rFonts w:ascii="Times New Roman" w:hAnsi="Times New Roman"/>
          <w:b w:val="false"/>
          <w:i w:val="false"/>
          <w:color w:val="000000"/>
          <w:sz w:val="21"/>
        </w:rPr>
        <w:t>[Filed without Notice 12/12/86—published 12/31/86, effective 2/4/87]</w:t>
      </w:r>
    </w:p>
    <w:p>
      <w:pPr>
        <w:spacing w:before="0" w:after="0"/>
        <w:ind w:left="120"/>
        <w:jc w:val="center"/>
      </w:pPr>
      <w:r>
        <w:rPr>
          <w:rFonts w:ascii="Times New Roman" w:hAnsi="Times New Roman"/>
          <w:b w:val="false"/>
          <w:i w:val="false"/>
          <w:color w:val="000000"/>
          <w:sz w:val="21"/>
        </w:rPr>
        <w:t>[Filed 9/20/96, Notice 7/3/96—published 10/9/96, effective 11/13/96]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6A.36.pdf" Type="http://schemas.openxmlformats.org/officeDocument/2006/relationships/hyperlink" Id="rId5"/>
    <Relationship TargetMode="External" Target="https://www.legis.iowa.gov/docs/iac/rule/571.72.2.pdf" Type="http://schemas.openxmlformats.org/officeDocument/2006/relationships/hyperlink" Id="rId6"/>
    <Relationship TargetMode="External" Target="https://www.legis.iowa.gov/docs/iac/rule/571.72.3.pdf" Type="http://schemas.openxmlformats.org/officeDocument/2006/relationships/hyperlink" Id="rId7"/>
    <Relationship TargetMode="External" Target="https://www.legis.iowa.gov/docs/ico/chapter/22.pdf" Type="http://schemas.openxmlformats.org/officeDocument/2006/relationships/hyperlink" Id="rId8"/>
    <Relationship TargetMode="External" Target="https://www.legis.iowa.gov/docs/ico/chapter/456A.24.pdf" Type="http://schemas.openxmlformats.org/officeDocument/2006/relationships/hyperlink" Id="rId9"/>
    <Relationship TargetMode="External" Target="https://www.legis.iowa.gov/docs/ico/chapter/456A.36.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