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w:t>
      </w:r>
    </w:p>
    <w:p>
      <w:pPr>
        <w:spacing w:before="0" w:after="0"/>
        <w:ind w:left="120"/>
        <w:jc w:val="center"/>
      </w:pPr>
      <w:r>
        <w:rPr>
          <w:rFonts w:ascii="Times New Roman" w:hAnsi="Times New Roman"/>
          <w:b w:val="false"/>
          <w:i w:val="false"/>
          <w:color w:val="000000"/>
          <w:sz w:val="21"/>
        </w:rPr>
        <w:t>METAL DETECTORS USE IN STATE AREAS</w:t>
      </w:r>
    </w:p>
    <w:p>
      <w:pPr>
        <w:spacing w:before="0" w:after="0"/>
        <w:ind w:left="120"/>
        <w:jc w:val="center"/>
      </w:pPr>
      <w:r>
        <w:rPr>
          <w:rFonts w:ascii="Times New Roman" w:hAnsi="Times New Roman"/>
          <w:b w:val="false"/>
          <w:i w:val="false"/>
          <w:color w:val="000000"/>
          <w:sz w:val="14"/>
        </w:rPr>
        <w:t>[Prior to 12/31/86, Conservation Commission[290] Ch 43]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571—64.1</w:t>
      </w:r>
      <w:r>
        <w:rPr>
          <w:rFonts w:ascii="Times New Roman" w:hAnsi="Times New Roman"/>
          <w:b/>
          <w:i w:val="false"/>
          <w:color w:val="000000"/>
          <w:sz w:val="22"/>
        </w:rPr>
        <w:t xml:space="preserve">(461A)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“Beach”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“beach area” </w:t>
      </w:r>
      <w:r>
        <w:rPr>
          <w:rFonts w:ascii="Times New Roman" w:hAnsi="Times New Roman"/>
          <w:b w:val="false"/>
          <w:i w:val="false"/>
          <w:color w:val="000000"/>
          <w:sz w:val="22"/>
        </w:rPr>
        <w:t>means that portion of state parks or recreation areas designated for swimming activity including the sand, a 200-foot buffer of land surrounding the sand or a designated area which is fenced in, and the water area contiguous to the beach as marked by swim buoys or swim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“Metal detector” </w:t>
      </w:r>
      <w:r>
        <w:rPr>
          <w:rFonts w:ascii="Times New Roman" w:hAnsi="Times New Roman"/>
          <w:b w:val="false"/>
          <w:i w:val="false"/>
          <w:color w:val="000000"/>
          <w:sz w:val="22"/>
        </w:rPr>
        <w:t>means a portable electronic device carried by an individual used only for detecting metal above or below the surface of the ground.</w:t>
      </w:r>
    </w:p>
    <w:p>
      <w:pPr>
        <w:spacing w:before="0" w:after="0"/>
        <w:ind w:left="120"/>
        <w:jc w:val="both"/>
      </w:pPr>
      <w:r>
        <w:rPr>
          <w:rFonts w:ascii="Times New Roman" w:hAnsi="Times New Roman"/>
          <w:b/>
          <w:i w:val="false"/>
          <w:color w:val="000000"/>
          <w:sz w:val="22"/>
        </w:rPr>
        <w:t>571—64.2</w:t>
      </w:r>
      <w:r>
        <w:rPr>
          <w:rFonts w:ascii="Times New Roman" w:hAnsi="Times New Roman"/>
          <w:b/>
          <w:i w:val="false"/>
          <w:color w:val="000000"/>
          <w:sz w:val="22"/>
        </w:rPr>
        <w:t xml:space="preserve">(461A) </w:t>
      </w:r>
      <w:r>
        <w:rPr>
          <w:rFonts w:ascii="Times New Roman" w:hAnsi="Times New Roman"/>
          <w:b/>
          <w:i w:val="false"/>
          <w:color w:val="000000"/>
          <w:sz w:val="22"/>
        </w:rPr>
        <w:t xml:space="preserve">Use areas. </w:t>
      </w:r>
      <w:r>
        <w:rPr>
          <w:rFonts w:ascii="Times New Roman" w:hAnsi="Times New Roman"/>
          <w:b w:val="false"/>
          <w:i w:val="false"/>
          <w:color w:val="000000"/>
          <w:sz w:val="22"/>
        </w:rPr>
        <w:t>Metal detector use in state parks and recreation areas is prohibited except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w:t>
      </w:r>
      <w:r>
        <w:rPr>
          <w:rFonts w:ascii="Times New Roman" w:hAnsi="Times New Roman"/>
          <w:b w:val="false"/>
          <w:i w:val="false"/>
          <w:color w:val="000000"/>
          <w:sz w:val="22"/>
        </w:rPr>
        <w:t> </w:t>
      </w:r>
      <w:r>
        <w:rPr>
          <w:rFonts w:ascii="Times New Roman" w:hAnsi="Times New Roman"/>
          <w:b w:val="false"/>
          <w:i/>
          <w:color w:val="000000"/>
          <w:sz w:val="22"/>
        </w:rPr>
        <w:t xml:space="preserve">Designated beach areas. </w:t>
      </w:r>
      <w:r>
        <w:rPr>
          <w:rFonts w:ascii="Times New Roman" w:hAnsi="Times New Roman"/>
          <w:b w:val="false"/>
          <w:i w:val="false"/>
          <w:color w:val="000000"/>
          <w:sz w:val="22"/>
        </w:rPr>
        <w:t>From May 22 to September 7 each year, metal detectors may be used on designated beach areas from 4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each day. From September 8 to May 21 each year, metal detectors may be used on designated beach areas during the hours established in </w:t>
      </w:r>
      <w:hyperlink r:id="rId5">
        <w:r>
          <w:rPr>
            <w:rStyle w:val="Hyperlink"/>
            <w:rFonts w:ascii="Times New Roman" w:hAnsi="Times New Roman"/>
            <w:b w:val="false"/>
            <w:i w:val="false"/>
            <w:color w:val="000000"/>
            <w:sz w:val="22"/>
          </w:rPr>
          <w:t>571—61.1(461A)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64.2(2)</w:t>
      </w:r>
      <w:r>
        <w:rPr>
          <w:rFonts w:ascii="Times New Roman" w:hAnsi="Times New Roman"/>
          <w:b w:val="false"/>
          <w:i w:val="false"/>
          <w:color w:val="000000"/>
          <w:sz w:val="22"/>
        </w:rPr>
        <w:t> </w:t>
      </w:r>
      <w:r>
        <w:rPr>
          <w:rFonts w:ascii="Times New Roman" w:hAnsi="Times New Roman"/>
          <w:b w:val="false"/>
          <w:i/>
          <w:color w:val="000000"/>
          <w:sz w:val="22"/>
        </w:rPr>
        <w:t xml:space="preserve">Drained lakes. </w:t>
      </w:r>
      <w:r>
        <w:rPr>
          <w:rFonts w:ascii="Times New Roman" w:hAnsi="Times New Roman"/>
          <w:b w:val="false"/>
          <w:i w:val="false"/>
          <w:color w:val="000000"/>
          <w:sz w:val="22"/>
        </w:rPr>
        <w:t xml:space="preserve">When an artificial lake has been drained or the water level lowered for any reason, metal detector use may be allowed during the hours established in </w:t>
      </w:r>
      <w:hyperlink r:id="rId6">
        <w:r>
          <w:rPr>
            <w:rStyle w:val="Hyperlink"/>
            <w:rFonts w:ascii="Times New Roman" w:hAnsi="Times New Roman"/>
            <w:b w:val="false"/>
            <w:i w:val="false"/>
            <w:color w:val="000000"/>
            <w:sz w:val="22"/>
          </w:rPr>
          <w:t>571—61.1(461A)</w:t>
        </w:r>
      </w:hyperlink>
      <w:r>
        <w:rPr>
          <w:rFonts w:ascii="Times New Roman" w:hAnsi="Times New Roman"/>
          <w:b w:val="false"/>
          <w:i w:val="false"/>
          <w:color w:val="000000"/>
          <w:sz w:val="22"/>
        </w:rPr>
        <w:t xml:space="preserve"> only after the lake bed has been thoroughly surveyed for archaeological resources and a survey report has been completed and approved by the state historic preservation office.</w:t>
      </w:r>
    </w:p>
    <w:p>
      <w:pPr>
        <w:spacing w:before="210" w:after="0"/>
        <w:ind w:left="120"/>
        <w:jc w:val="both"/>
      </w:pPr>
      <w:r>
        <w:rPr>
          <w:rFonts w:ascii="Times New Roman" w:hAnsi="Times New Roman"/>
          <w:b/>
          <w:i w:val="false"/>
          <w:color w:val="000000"/>
          <w:sz w:val="22"/>
        </w:rPr>
        <w:t>571—64.3</w:t>
      </w:r>
      <w:r>
        <w:rPr>
          <w:rFonts w:ascii="Times New Roman" w:hAnsi="Times New Roman"/>
          <w:b/>
          <w:i w:val="false"/>
          <w:color w:val="000000"/>
          <w:sz w:val="22"/>
        </w:rPr>
        <w:t xml:space="preserve">(461A) </w:t>
      </w:r>
      <w:r>
        <w:rPr>
          <w:rFonts w:ascii="Times New Roman" w:hAnsi="Times New Roman"/>
          <w:b/>
          <w:i w:val="false"/>
          <w:color w:val="000000"/>
          <w:sz w:val="22"/>
        </w:rPr>
        <w:t xml:space="preserve">Archaeological/scientific studies. </w:t>
      </w:r>
      <w:r>
        <w:rPr>
          <w:rFonts w:ascii="Times New Roman" w:hAnsi="Times New Roman"/>
          <w:b w:val="false"/>
          <w:i w:val="false"/>
          <w:color w:val="000000"/>
          <w:sz w:val="22"/>
        </w:rPr>
        <w:t>When the use of a metal detector may support an archaeological or scientific study, a permit may be issued by the manager in charge of the property. Review of all permit applications shall be coordinated with the state historic preservation officer and the state archaeologist. The DNR shall take the state historic preservation officer’s and the state archaeologist’s views into account before acting upon the issuance of a permit.</w:t>
      </w:r>
    </w:p>
    <w:p>
      <w:pPr>
        <w:spacing w:before="210" w:after="0"/>
        <w:ind w:left="120"/>
        <w:jc w:val="both"/>
      </w:pPr>
      <w:r>
        <w:rPr>
          <w:rFonts w:ascii="Times New Roman" w:hAnsi="Times New Roman"/>
          <w:b/>
          <w:i w:val="false"/>
          <w:color w:val="000000"/>
          <w:sz w:val="22"/>
        </w:rPr>
        <w:t>571—64.4</w:t>
      </w:r>
      <w:r>
        <w:rPr>
          <w:rFonts w:ascii="Times New Roman" w:hAnsi="Times New Roman"/>
          <w:b/>
          <w:i w:val="false"/>
          <w:color w:val="000000"/>
          <w:sz w:val="22"/>
        </w:rPr>
        <w:t xml:space="preserve">(461A) </w:t>
      </w:r>
      <w:r>
        <w:rPr>
          <w:rFonts w:ascii="Times New Roman" w:hAnsi="Times New Roman"/>
          <w:b/>
          <w:i w:val="false"/>
          <w:color w:val="000000"/>
          <w:sz w:val="22"/>
        </w:rPr>
        <w:t xml:space="preserve">Found items. </w:t>
      </w:r>
      <w:r>
        <w:rPr>
          <w:rFonts w:ascii="Times New Roman" w:hAnsi="Times New Roman"/>
          <w:b w:val="false"/>
          <w:i w:val="false"/>
          <w:color w:val="000000"/>
          <w:sz w:val="22"/>
        </w:rPr>
        <w:t xml:space="preserve">All items found are subject to the provisions of Iowa Code chapter </w:t>
      </w:r>
      <w:hyperlink r:id="rId7">
        <w:r>
          <w:rPr>
            <w:rStyle w:val="Hyperlink"/>
            <w:rFonts w:ascii="Times New Roman" w:hAnsi="Times New Roman"/>
            <w:b w:val="false"/>
            <w:i w:val="false"/>
            <w:color w:val="000000"/>
            <w:sz w:val="22"/>
          </w:rPr>
          <w:t>556F</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571—64.5</w:t>
      </w:r>
      <w:r>
        <w:rPr>
          <w:rFonts w:ascii="Times New Roman" w:hAnsi="Times New Roman"/>
          <w:b/>
          <w:i w:val="false"/>
          <w:color w:val="000000"/>
          <w:sz w:val="22"/>
        </w:rPr>
        <w:t xml:space="preserve">(461A) </w:t>
      </w:r>
      <w:r>
        <w:rPr>
          <w:rFonts w:ascii="Times New Roman" w:hAnsi="Times New Roman"/>
          <w:b/>
          <w:i w:val="false"/>
          <w:color w:val="000000"/>
          <w:sz w:val="22"/>
        </w:rPr>
        <w:t xml:space="preserve">Lost item search by owner. </w:t>
      </w:r>
      <w:r>
        <w:rPr>
          <w:rFonts w:ascii="Times New Roman" w:hAnsi="Times New Roman"/>
          <w:b w:val="false"/>
          <w:i w:val="false"/>
          <w:color w:val="000000"/>
          <w:sz w:val="22"/>
        </w:rPr>
        <w:t>An owner of lost property may use a metal detector to search for that item in an area where such use is prohibited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64.5(1)</w:t>
      </w:r>
      <w:r>
        <w:rPr>
          <w:rFonts w:ascii="Times New Roman" w:hAnsi="Times New Roman"/>
          <w:b w:val="false"/>
          <w:i w:val="false"/>
          <w:color w:val="000000"/>
          <w:sz w:val="22"/>
        </w:rPr>
        <w:t> </w:t>
      </w:r>
      <w:r>
        <w:rPr>
          <w:rFonts w:ascii="Times New Roman" w:hAnsi="Times New Roman"/>
          <w:b w:val="false"/>
          <w:i w:val="false"/>
          <w:color w:val="000000"/>
          <w:sz w:val="22"/>
        </w:rPr>
        <w:t>Written approval has been granted by the director of the department of natural resources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64.5(2)</w:t>
      </w:r>
      <w:r>
        <w:rPr>
          <w:rFonts w:ascii="Times New Roman" w:hAnsi="Times New Roman"/>
          <w:b w:val="false"/>
          <w:i w:val="false"/>
          <w:color w:val="000000"/>
          <w:sz w:val="22"/>
        </w:rPr>
        <w:t> </w:t>
      </w:r>
      <w:r>
        <w:rPr>
          <w:rFonts w:ascii="Times New Roman" w:hAnsi="Times New Roman"/>
          <w:b w:val="false"/>
          <w:i w:val="false"/>
          <w:color w:val="000000"/>
          <w:sz w:val="22"/>
        </w:rPr>
        <w:t>The search is confined to a reasonable area within the park or recreation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64.5(3)</w:t>
      </w:r>
      <w:r>
        <w:rPr>
          <w:rFonts w:ascii="Times New Roman" w:hAnsi="Times New Roman"/>
          <w:b w:val="false"/>
          <w:i w:val="false"/>
          <w:color w:val="000000"/>
          <w:sz w:val="22"/>
        </w:rPr>
        <w:t> </w:t>
      </w:r>
      <w:r>
        <w:rPr>
          <w:rFonts w:ascii="Times New Roman" w:hAnsi="Times New Roman"/>
          <w:b w:val="false"/>
          <w:i w:val="false"/>
          <w:color w:val="000000"/>
          <w:sz w:val="22"/>
        </w:rPr>
        <w:t>The search is limited to 12 hours or less in length.</w:t>
      </w:r>
    </w:p>
    <w:p>
      <w:pPr>
        <w:spacing w:before="0" w:after="0"/>
        <w:ind w:left="120"/>
        <w:jc w:val="both"/>
      </w:pPr>
      <w:r>
        <w:rPr>
          <w:rFonts w:ascii="Times New Roman" w:hAnsi="Times New Roman"/>
          <w:b/>
          <w:i w:val="false"/>
          <w:color w:val="000000"/>
          <w:sz w:val="22"/>
        </w:rPr>
        <w:t>571—64.6</w:t>
      </w:r>
      <w:r>
        <w:rPr>
          <w:rFonts w:ascii="Times New Roman" w:hAnsi="Times New Roman"/>
          <w:b/>
          <w:i w:val="false"/>
          <w:color w:val="000000"/>
          <w:sz w:val="22"/>
        </w:rPr>
        <w:t xml:space="preserve">(461A) </w:t>
      </w:r>
      <w:r>
        <w:rPr>
          <w:rFonts w:ascii="Times New Roman" w:hAnsi="Times New Roman"/>
          <w:b/>
          <w:i w:val="false"/>
          <w:color w:val="000000"/>
          <w:sz w:val="22"/>
        </w:rPr>
        <w:t xml:space="preserve">Tools used. </w:t>
      </w:r>
      <w:r>
        <w:rPr>
          <w:rFonts w:ascii="Times New Roman" w:hAnsi="Times New Roman"/>
          <w:b w:val="false"/>
          <w:i w:val="false"/>
          <w:color w:val="000000"/>
          <w:sz w:val="22"/>
        </w:rPr>
        <w:t>Tools used to recover items detected beneath the ground level shall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64.6(1)</w:t>
      </w:r>
      <w:r>
        <w:rPr>
          <w:rFonts w:ascii="Times New Roman" w:hAnsi="Times New Roman"/>
          <w:b w:val="false"/>
          <w:i w:val="false"/>
          <w:color w:val="000000"/>
          <w:sz w:val="22"/>
        </w:rPr>
        <w:t> </w:t>
      </w:r>
      <w:r>
        <w:rPr>
          <w:rFonts w:ascii="Times New Roman" w:hAnsi="Times New Roman"/>
          <w:b w:val="false"/>
          <w:i w:val="false"/>
          <w:color w:val="000000"/>
          <w:sz w:val="22"/>
        </w:rPr>
        <w:t>Probes not over 12 inches long, 1-inch wide, and ¼-inch thick.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w:t>
      </w:r>
      <w:r>
        <w:rPr>
          <w:rFonts w:ascii="Times New Roman" w:hAnsi="Times New Roman"/>
          <w:b w:val="false"/>
          <w:i w:val="false"/>
          <w:color w:val="000000"/>
          <w:sz w:val="22"/>
        </w:rPr>
        <w:t> </w:t>
      </w:r>
      <w:r>
        <w:rPr>
          <w:rFonts w:ascii="Times New Roman" w:hAnsi="Times New Roman"/>
          <w:b w:val="false"/>
          <w:i w:val="false"/>
          <w:color w:val="000000"/>
          <w:sz w:val="22"/>
        </w:rPr>
        <w:t>A sand scoop or sieve not over 10 inches in diameter.</w:t>
      </w:r>
    </w:p>
    <w:p>
      <w:pPr>
        <w:spacing w:before="0" w:after="0"/>
        <w:ind w:left="120"/>
        <w:jc w:val="both"/>
      </w:pPr>
      <w:r>
        <w:rPr>
          <w:rFonts w:ascii="Times New Roman" w:hAnsi="Times New Roman"/>
          <w:b/>
          <w:i w:val="false"/>
          <w:color w:val="000000"/>
          <w:sz w:val="22"/>
        </w:rPr>
        <w:t>571—64.7</w:t>
      </w:r>
      <w:r>
        <w:rPr>
          <w:rFonts w:ascii="Times New Roman" w:hAnsi="Times New Roman"/>
          <w:b/>
          <w:i w:val="false"/>
          <w:color w:val="000000"/>
          <w:sz w:val="22"/>
        </w:rPr>
        <w:t xml:space="preserve">(461A) </w:t>
      </w:r>
      <w:r>
        <w:rPr>
          <w:rFonts w:ascii="Times New Roman" w:hAnsi="Times New Roman"/>
          <w:b/>
          <w:i w:val="false"/>
          <w:color w:val="000000"/>
          <w:sz w:val="22"/>
        </w:rPr>
        <w:t xml:space="preserve">Digging limitations and restoration.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64.7(1)</w:t>
      </w:r>
      <w:r>
        <w:rPr>
          <w:rFonts w:ascii="Times New Roman" w:hAnsi="Times New Roman"/>
          <w:b w:val="false"/>
          <w:i w:val="false"/>
          <w:color w:val="000000"/>
          <w:sz w:val="22"/>
        </w:rPr>
        <w:t> </w:t>
      </w:r>
      <w:r>
        <w:rPr>
          <w:rFonts w:ascii="Times New Roman" w:hAnsi="Times New Roman"/>
          <w:b w:val="false"/>
          <w:i w:val="false"/>
          <w:color w:val="000000"/>
          <w:sz w:val="22"/>
        </w:rPr>
        <w:t>In recovering items located below the ground, a person shall not unduly disturb the earth and shall limit all excavations to less than three inches square when using probes and ten inches in diameter when using sand scoops or sieves.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64.7(2)</w:t>
      </w:r>
      <w:r>
        <w:rPr>
          <w:rFonts w:ascii="Times New Roman" w:hAnsi="Times New Roman"/>
          <w:b w:val="false"/>
          <w:i w:val="false"/>
          <w:color w:val="000000"/>
          <w:sz w:val="22"/>
        </w:rPr>
        <w:t> </w:t>
      </w:r>
      <w:r>
        <w:rPr>
          <w:rFonts w:ascii="Times New Roman" w:hAnsi="Times New Roman"/>
          <w:b w:val="false"/>
          <w:i w:val="false"/>
          <w:color w:val="000000"/>
          <w:sz w:val="22"/>
        </w:rPr>
        <w:t>When digging is done to search for an object, the metal detector operator shall restore the disturbed area as nearly as possible to its original condition.</w:t>
      </w:r>
    </w:p>
    <w:p>
      <w:pPr>
        <w:spacing w:before="0" w:after="0"/>
        <w:ind w:left="120"/>
        <w:jc w:val="both"/>
      </w:pPr>
      <w:r>
        <w:rPr>
          <w:rFonts w:ascii="Times New Roman" w:hAnsi="Times New Roman"/>
          <w:b/>
          <w:i w:val="false"/>
          <w:color w:val="000000"/>
          <w:sz w:val="22"/>
        </w:rPr>
        <w:t>571—64.8</w:t>
      </w:r>
      <w:r>
        <w:rPr>
          <w:rFonts w:ascii="Times New Roman" w:hAnsi="Times New Roman"/>
          <w:b/>
          <w:i w:val="false"/>
          <w:color w:val="000000"/>
          <w:sz w:val="22"/>
        </w:rPr>
        <w:t xml:space="preserve">(461A) </w:t>
      </w:r>
      <w:r>
        <w:rPr>
          <w:rFonts w:ascii="Times New Roman" w:hAnsi="Times New Roman"/>
          <w:b/>
          <w:i w:val="false"/>
          <w:color w:val="000000"/>
          <w:sz w:val="22"/>
        </w:rPr>
        <w:t xml:space="preserve">Disposal of litter. </w:t>
      </w:r>
      <w:r>
        <w:rPr>
          <w:rFonts w:ascii="Times New Roman" w:hAnsi="Times New Roman"/>
          <w:b w:val="false"/>
          <w:i w:val="false"/>
          <w:color w:val="000000"/>
          <w:sz w:val="22"/>
        </w:rPr>
        <w:t>Persons using metal detectors shall wear or carry a litter apron or bag, and all litter that is recovered shall be disposed of in approved trash receptacles.</w:t>
      </w:r>
    </w:p>
    <w:p>
      <w:pPr>
        <w:spacing w:before="0" w:after="0"/>
        <w:ind w:left="120"/>
        <w:jc w:val="both"/>
      </w:pPr>
      <w:r>
        <w:rPr>
          <w:rFonts w:ascii="Times New Roman" w:hAnsi="Times New Roman"/>
          <w:b w:val="false"/>
          <w:i w:val="false"/>
          <w:color w:val="000000"/>
          <w:sz w:val="22"/>
        </w:rPr>
        <w:t xml:space="preserve">These rules implement Iowa Code section </w:t>
      </w:r>
      <w:hyperlink r:id="rId8">
        <w:r>
          <w:rPr>
            <w:rStyle w:val="Hyperlink"/>
            <w:rFonts w:ascii="Times New Roman" w:hAnsi="Times New Roman"/>
            <w:b w:val="false"/>
            <w:i w:val="false"/>
            <w:color w:val="000000"/>
            <w:sz w:val="22"/>
          </w:rPr>
          <w:t>461A.35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7/13/82, Notice 4/28/82—published 8/4/82, effective 9/8/82]</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11/17/04, Notice 9/29/04—published 12/8/04, effective 1/12/05]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61.1.pdf" Type="http://schemas.openxmlformats.org/officeDocument/2006/relationships/hyperlink" Id="rId5"/>
    <Relationship TargetMode="External" Target="https://www.legis.iowa.gov/docs/iac/rule/571.61.1.pdf" Type="http://schemas.openxmlformats.org/officeDocument/2006/relationships/hyperlink" Id="rId6"/>
    <Relationship TargetMode="External" Target="https://www.legis.iowa.gov/docs/ico/chapter/556F.pdf" Type="http://schemas.openxmlformats.org/officeDocument/2006/relationships/hyperlink" Id="rId7"/>
    <Relationship TargetMode="External" Target="https://www.legis.iowa.gov/docs/ico/chapter/461A.3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