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w:t>
      </w:r>
    </w:p>
    <w:p>
      <w:pPr>
        <w:spacing w:before="0" w:after="0"/>
        <w:ind w:left="120"/>
        <w:jc w:val="center"/>
      </w:pPr>
      <w:r>
        <w:rPr>
          <w:rFonts w:ascii="Times New Roman" w:hAnsi="Times New Roman"/>
          <w:b w:val="false"/>
          <w:i w:val="false"/>
          <w:color w:val="000000"/>
          <w:sz w:val="21"/>
        </w:rPr>
        <w:t>INSPECTION OF PERMANENTLY MOORED VESSELS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571—48.1</w:t>
      </w:r>
      <w:r>
        <w:rPr>
          <w:rFonts w:ascii="Times New Roman" w:hAnsi="Times New Roman"/>
          <w:b/>
          <w:i w:val="false"/>
          <w:color w:val="000000"/>
          <w:sz w:val="22"/>
        </w:rPr>
        <w:t xml:space="preserve">(462A)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intended to establish the procedures for compliance with the inspection requirements of Iowa Code sections </w:t>
      </w:r>
      <w:hyperlink r:id="rId5">
        <w:r>
          <w:rPr>
            <w:rStyle w:val="Hyperlink"/>
            <w:rFonts w:ascii="Times New Roman" w:hAnsi="Times New Roman"/>
            <w:b w:val="false"/>
            <w:i w:val="false"/>
            <w:color w:val="000000"/>
            <w:sz w:val="22"/>
          </w:rPr>
          <w:t>99F.7(14)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462A.20</w:t>
        </w:r>
      </w:hyperlink>
      <w:r>
        <w:rPr>
          <w:rFonts w:ascii="Times New Roman" w:hAnsi="Times New Roman"/>
          <w:b w:val="false"/>
          <w:i w:val="false"/>
          <w:color w:val="000000"/>
          <w:sz w:val="22"/>
        </w:rPr>
        <w:t xml:space="preserve"> for the inspection of excursion boats used for gambling that have been removed from navigation and designated as permanently moored vessels by the United States Coast Guard.</w:t>
      </w:r>
    </w:p>
    <w:p>
      <w:pPr>
        <w:spacing w:before="0" w:after="0"/>
        <w:ind w:left="120"/>
        <w:jc w:val="both"/>
      </w:pPr>
      <w:r>
        <w:rPr>
          <w:rFonts w:ascii="Times New Roman" w:hAnsi="Times New Roman"/>
          <w:b/>
          <w:i w:val="false"/>
          <w:color w:val="000000"/>
          <w:sz w:val="22"/>
        </w:rPr>
        <w:t>571—48.2</w:t>
      </w:r>
      <w:r>
        <w:rPr>
          <w:rFonts w:ascii="Times New Roman" w:hAnsi="Times New Roman"/>
          <w:b/>
          <w:i w:val="false"/>
          <w:color w:val="000000"/>
          <w:sz w:val="22"/>
        </w:rPr>
        <w:t xml:space="preserve">(462A)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“Correction report” </w:t>
      </w:r>
      <w:r>
        <w:rPr>
          <w:rFonts w:ascii="Times New Roman" w:hAnsi="Times New Roman"/>
          <w:b w:val="false"/>
          <w:i w:val="false"/>
          <w:color w:val="000000"/>
          <w:sz w:val="22"/>
        </w:rPr>
        <w:t>means a written requirement issued by, or on behalf of, the department and directing a PMV operator to correct a safety or maritime security deficiency within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systems” </w:t>
      </w:r>
      <w:r>
        <w:rPr>
          <w:rFonts w:ascii="Times New Roman" w:hAnsi="Times New Roman"/>
          <w:b w:val="false"/>
          <w:i w:val="false"/>
          <w:color w:val="000000"/>
          <w:sz w:val="22"/>
        </w:rPr>
        <w:t>on a PMV means fire safety systems, systems that protect against flooding and progressive flooding, emergency power systems, emergency lighting systems, emergency ventilation shutdown systems, and fuel and sewage discharge prevention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program coordinator” </w:t>
      </w:r>
      <w:r>
        <w:rPr>
          <w:rFonts w:ascii="Times New Roman" w:hAnsi="Times New Roman"/>
          <w:b w:val="false"/>
          <w:i w:val="false"/>
          <w:color w:val="000000"/>
          <w:sz w:val="22"/>
        </w:rPr>
        <w:t xml:space="preserve">means a third-party contractor retained pursuant to </w:t>
      </w:r>
      <w:hyperlink r:id="rId7">
        <w:r>
          <w:rPr>
            <w:rStyle w:val="Hyperlink"/>
            <w:rFonts w:ascii="Times New Roman" w:hAnsi="Times New Roman"/>
            <w:b w:val="false"/>
            <w:i w:val="false"/>
            <w:color w:val="000000"/>
            <w:sz w:val="22"/>
          </w:rPr>
          <w:t>567—48.5</w:t>
        </w:r>
      </w:hyperlink>
      <w:r>
        <w:rPr>
          <w:rFonts w:ascii="Times New Roman" w:hAnsi="Times New Roman"/>
          <w:b w:val="false"/>
          <w:i w:val="false"/>
          <w:color w:val="000000"/>
          <w:sz w:val="22"/>
        </w:rPr>
        <w:t>(462A) to conduct inspections on PMVs and administer the PMV inspection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“Permanently moored vessel”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“PMV” </w:t>
      </w:r>
      <w:r>
        <w:rPr>
          <w:rFonts w:ascii="Times New Roman" w:hAnsi="Times New Roman"/>
          <w:b w:val="false"/>
          <w:i w:val="false"/>
          <w:color w:val="000000"/>
          <w:sz w:val="22"/>
        </w:rPr>
        <w:t>means an excursion boat used for gambling, which is removed from navigation and defined as a vessel under Title 46, Code of Federal Regulations, Subchapter K or H, that would have previously required a United States Coast Guard Certificate of Inspection.</w:t>
      </w:r>
    </w:p>
    <w:p>
      <w:pPr>
        <w:spacing w:before="210" w:after="0"/>
        <w:ind w:left="120"/>
        <w:jc w:val="both"/>
      </w:pPr>
      <w:r>
        <w:rPr>
          <w:rFonts w:ascii="Times New Roman" w:hAnsi="Times New Roman"/>
          <w:b/>
          <w:i w:val="false"/>
          <w:color w:val="000000"/>
          <w:sz w:val="22"/>
        </w:rPr>
        <w:t>571—48.3</w:t>
      </w:r>
      <w:r>
        <w:rPr>
          <w:rFonts w:ascii="Times New Roman" w:hAnsi="Times New Roman"/>
          <w:b/>
          <w:i w:val="false"/>
          <w:color w:val="000000"/>
          <w:sz w:val="22"/>
        </w:rPr>
        <w:t xml:space="preserve">(462A)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All PMVs shall be inspected by a qualified inspector to determine compliance with the “State of Iowa Permanently Moored Vessel Inspection Requirements,” 2005, as adopted by reference herein.</w:t>
      </w:r>
    </w:p>
    <w:p>
      <w:pPr>
        <w:spacing w:before="0" w:after="0"/>
        <w:ind w:left="120"/>
        <w:jc w:val="both"/>
      </w:pPr>
      <w:r>
        <w:rPr>
          <w:rFonts w:ascii="Times New Roman" w:hAnsi="Times New Roman"/>
          <w:b/>
          <w:i w:val="false"/>
          <w:color w:val="000000"/>
          <w:sz w:val="22"/>
        </w:rPr>
        <w:t>571—48.4</w:t>
      </w:r>
      <w:r>
        <w:rPr>
          <w:rFonts w:ascii="Times New Roman" w:hAnsi="Times New Roman"/>
          <w:b/>
          <w:i w:val="false"/>
          <w:color w:val="000000"/>
          <w:sz w:val="22"/>
        </w:rPr>
        <w:t xml:space="preserve">(462A) </w:t>
      </w:r>
      <w:r>
        <w:rPr>
          <w:rFonts w:ascii="Times New Roman" w:hAnsi="Times New Roman"/>
          <w:b/>
          <w:i w:val="false"/>
          <w:color w:val="000000"/>
          <w:sz w:val="22"/>
        </w:rPr>
        <w:t xml:space="preserve">Inspectors. </w:t>
      </w:r>
      <w:r>
        <w:rPr>
          <w:rFonts w:ascii="Times New Roman" w:hAnsi="Times New Roman"/>
          <w:b w:val="false"/>
          <w:i w:val="false"/>
          <w:color w:val="000000"/>
          <w:sz w:val="22"/>
        </w:rPr>
        <w:t>Inspections of PMVs shall be conducted by a person or persons meeting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An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prior experience as a U.S. Coast Guard marine inspector or as a classification society (recognized by the U.S. Coast Guard) surveyor;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 classification surveyor acting on behalf of a classification society;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 professional engineer licensed by one of the 50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professional naval architect or marine engineer.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48.4(2)</w:t>
      </w:r>
      <w:r>
        <w:rPr>
          <w:rFonts w:ascii="Times New Roman" w:hAnsi="Times New Roman"/>
          <w:b w:val="false"/>
          <w:i w:val="false"/>
          <w:color w:val="000000"/>
          <w:sz w:val="22"/>
        </w:rPr>
        <w:t> </w:t>
      </w:r>
      <w:r>
        <w:rPr>
          <w:rFonts w:ascii="Times New Roman" w:hAnsi="Times New Roman"/>
          <w:b w:val="false"/>
          <w:i/>
          <w:color w:val="000000"/>
          <w:sz w:val="22"/>
        </w:rPr>
        <w:t xml:space="preserve">Minimum documented work experience. </w:t>
      </w:r>
      <w:r>
        <w:rPr>
          <w:rFonts w:ascii="Times New Roman" w:hAnsi="Times New Roman"/>
          <w:b w:val="false"/>
          <w:i w:val="false"/>
          <w:color w:val="000000"/>
          <w:sz w:val="22"/>
        </w:rPr>
        <w:t>An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obtained three years’ experience in the examination of steel or aluminum vessels of similar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familiar with the regulations and standards under which the PMV was built;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familiar with permanent mooring arrangements and ship structures supporting the same;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experience in marine emergency response operations and planning that is sufficient for the individual to competently review emergency action plans required by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experience in the investigation of reportable occurrences as described in the “State of Iowa Permanently Moored Vessel Inspection Requirements,” 2005.</w:t>
      </w:r>
    </w:p>
    <w:p>
      <w:pPr>
        <w:spacing w:before="0" w:after="0"/>
        <w:ind w:left="120"/>
        <w:jc w:val="both"/>
      </w:pPr>
      <w:r>
        <w:rPr>
          <w:rFonts w:ascii="Times New Roman" w:hAnsi="Times New Roman"/>
          <w:b/>
          <w:i w:val="false"/>
          <w:color w:val="000000"/>
          <w:sz w:val="22"/>
        </w:rPr>
        <w:t>571—48.5</w:t>
      </w:r>
      <w:r>
        <w:rPr>
          <w:rFonts w:ascii="Times New Roman" w:hAnsi="Times New Roman"/>
          <w:b/>
          <w:i w:val="false"/>
          <w:color w:val="000000"/>
          <w:sz w:val="22"/>
        </w:rPr>
        <w:t xml:space="preserve">(462A) </w:t>
      </w:r>
      <w:r>
        <w:rPr>
          <w:rFonts w:ascii="Times New Roman" w:hAnsi="Times New Roman"/>
          <w:b/>
          <w:i w:val="false"/>
          <w:color w:val="000000"/>
          <w:sz w:val="22"/>
        </w:rPr>
        <w:t xml:space="preserve">Statewide inspection contract. </w:t>
      </w:r>
      <w:r>
        <w:rPr>
          <w:rFonts w:ascii="Times New Roman" w:hAnsi="Times New Roman"/>
          <w:b w:val="false"/>
          <w:i w:val="false"/>
          <w:color w:val="000000"/>
          <w:sz w:val="22"/>
        </w:rPr>
        <w:t xml:space="preserve">If the department determines that the administration of this chapter could best be effectuated through a contract with one or more third parties, the state may award such a contract or contracts pursuant to the provisions of </w:t>
      </w:r>
      <w:hyperlink r:id="rId8">
        <w:r>
          <w:rPr>
            <w:rStyle w:val="Hyperlink"/>
            <w:rFonts w:ascii="Times New Roman" w:hAnsi="Times New Roman"/>
            <w:b w:val="false"/>
            <w:i w:val="false"/>
            <w:color w:val="000000"/>
            <w:sz w:val="22"/>
          </w:rPr>
          <w:t>561—Chapter 8</w:t>
        </w:r>
      </w:hyperlink>
      <w:r>
        <w:rPr>
          <w:rFonts w:ascii="Times New Roman" w:hAnsi="Times New Roman"/>
          <w:b w:val="false"/>
          <w:i w:val="false"/>
          <w:color w:val="000000"/>
          <w:sz w:val="22"/>
        </w:rPr>
        <w:t xml:space="preserve">, as adopted by reference in rule </w:t>
      </w:r>
      <w:hyperlink r:id="rId9">
        <w:r>
          <w:rPr>
            <w:rStyle w:val="Hyperlink"/>
            <w:rFonts w:ascii="Times New Roman" w:hAnsi="Times New Roman"/>
            <w:b w:val="false"/>
            <w:i w:val="false"/>
            <w:color w:val="000000"/>
            <w:sz w:val="22"/>
          </w:rPr>
          <w:t>571—8.1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w:t>
      </w:r>
      <w:r>
        <w:rPr>
          <w:rFonts w:ascii="Times New Roman" w:hAnsi="Times New Roman"/>
          <w:b w:val="false"/>
          <w:i w:val="false"/>
          <w:color w:val="000000"/>
          <w:sz w:val="22"/>
        </w:rPr>
        <w:t> </w:t>
      </w:r>
      <w:r>
        <w:rPr>
          <w:rFonts w:ascii="Times New Roman" w:hAnsi="Times New Roman"/>
          <w:b w:val="false"/>
          <w:i w:val="false"/>
          <w:color w:val="000000"/>
          <w:sz w:val="22"/>
        </w:rPr>
        <w:t>A statewide inspection contract shall authorize an inspection program coordinator to conduct the inspections required by this chapter, prepare and submit the required reports, and engage in such other activities as may be necessary for the administration of the PMV inspection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48.5(2)</w:t>
      </w:r>
      <w:r>
        <w:rPr>
          <w:rFonts w:ascii="Times New Roman" w:hAnsi="Times New Roman"/>
          <w:b w:val="false"/>
          <w:i w:val="false"/>
          <w:color w:val="000000"/>
          <w:sz w:val="22"/>
        </w:rPr>
        <w:t> </w:t>
      </w:r>
      <w:r>
        <w:rPr>
          <w:rFonts w:ascii="Times New Roman" w:hAnsi="Times New Roman"/>
          <w:b w:val="false"/>
          <w:i w:val="false"/>
          <w:color w:val="000000"/>
          <w:sz w:val="22"/>
        </w:rPr>
        <w:t>A contract entered into pursuant to this rule shall establish fees to be paid by PMV operators to the inspection program coordinator for the inspection of PMVs. There shall be a fixed fee established by contract for inspections and administration of the program by the inspection program coordinator. The contract may establish additional fees to be charged by the inspection program coordinator for work related to addressing deficiencies or other noncompliance by a PMV operator. Said fees shall be the sole source of payment to the inspection program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48.5(3)</w:t>
      </w:r>
      <w:r>
        <w:rPr>
          <w:rFonts w:ascii="Times New Roman" w:hAnsi="Times New Roman"/>
          <w:b w:val="false"/>
          <w:i w:val="false"/>
          <w:color w:val="000000"/>
          <w:sz w:val="22"/>
        </w:rPr>
        <w:t> </w:t>
      </w:r>
      <w:r>
        <w:rPr>
          <w:rFonts w:ascii="Times New Roman" w:hAnsi="Times New Roman"/>
          <w:b w:val="false"/>
          <w:i w:val="false"/>
          <w:color w:val="000000"/>
          <w:sz w:val="22"/>
        </w:rPr>
        <w:t>In the event that a statewide inspection contract is executed by the department, all submissions required by these rules shall be sent to the inspection program coordinator established by the contract.</w:t>
      </w:r>
    </w:p>
    <w:p>
      <w:pPr>
        <w:spacing w:before="210" w:after="0"/>
        <w:ind w:left="120"/>
        <w:jc w:val="both"/>
      </w:pPr>
      <w:r>
        <w:rPr>
          <w:rFonts w:ascii="Times New Roman" w:hAnsi="Times New Roman"/>
          <w:b/>
          <w:i w:val="false"/>
          <w:color w:val="000000"/>
          <w:sz w:val="22"/>
        </w:rPr>
        <w:t>571—48.6</w:t>
      </w:r>
      <w:r>
        <w:rPr>
          <w:rFonts w:ascii="Times New Roman" w:hAnsi="Times New Roman"/>
          <w:b/>
          <w:i w:val="false"/>
          <w:color w:val="000000"/>
          <w:sz w:val="22"/>
        </w:rPr>
        <w:t xml:space="preserve">(462A) </w:t>
      </w:r>
      <w:r>
        <w:rPr>
          <w:rFonts w:ascii="Times New Roman" w:hAnsi="Times New Roman"/>
          <w:b/>
          <w:i w:val="false"/>
          <w:color w:val="000000"/>
          <w:sz w:val="22"/>
        </w:rPr>
        <w:t xml:space="preserve">Submission. </w:t>
      </w:r>
      <w:r>
        <w:rPr>
          <w:rFonts w:ascii="Times New Roman" w:hAnsi="Times New Roman"/>
          <w:b w:val="false"/>
          <w:i w:val="false"/>
          <w:color w:val="000000"/>
          <w:sz w:val="22"/>
        </w:rPr>
        <w:t xml:space="preserve">Any person making application to the commission for the licensing of a PMV shall submit proof to the department that the PMV has been inspected by a qualified inspector and that the PMV satisfies all of the requirements of the “State of Iowa Permanently Moored Vessel Inspection Requirements,” 2005. All PMVs licensed pursuant to Iowa Code chapter </w:t>
      </w:r>
      <w:hyperlink r:id="rId10">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shall submit to the department quarterly and annual reports in compliance with all of the requirements of the “State of Iowa Permanently Moored Vessel Inspection Requirements,” 2005.</w:t>
      </w:r>
    </w:p>
    <w:p>
      <w:pPr>
        <w:spacing w:before="0" w:after="0"/>
        <w:ind w:left="120"/>
        <w:jc w:val="both"/>
      </w:pPr>
      <w:r>
        <w:rPr>
          <w:rFonts w:ascii="Times New Roman" w:hAnsi="Times New Roman"/>
          <w:b/>
          <w:i w:val="false"/>
          <w:color w:val="000000"/>
          <w:sz w:val="22"/>
        </w:rPr>
        <w:t>571—48.7</w:t>
      </w:r>
      <w:r>
        <w:rPr>
          <w:rFonts w:ascii="Times New Roman" w:hAnsi="Times New Roman"/>
          <w:b/>
          <w:i w:val="false"/>
          <w:color w:val="000000"/>
          <w:sz w:val="22"/>
        </w:rPr>
        <w:t xml:space="preserve">(462A) </w:t>
      </w:r>
      <w:r>
        <w:rPr>
          <w:rFonts w:ascii="Times New Roman" w:hAnsi="Times New Roman"/>
          <w:b/>
          <w:i w:val="false"/>
          <w:color w:val="000000"/>
          <w:sz w:val="22"/>
        </w:rPr>
        <w:t xml:space="preserve">Notification to the commission. </w:t>
      </w:r>
      <w:r>
        <w:rPr>
          <w:rFonts w:ascii="Times New Roman" w:hAnsi="Times New Roman"/>
          <w:b w:val="false"/>
          <w:i w:val="false"/>
          <w:color w:val="000000"/>
          <w:sz w:val="22"/>
        </w:rPr>
        <w:t xml:space="preserve">If a PMV operator fails to cure an inadequacy in a required inspection report or to comply with a correction report for a critical system or maritime security deficiency within the applicable time period, a determination of inadequacy shall be forwarded to the commission and shall be subject to the appeal and contested case procedures of the department as established by </w:t>
      </w:r>
      <w:hyperlink r:id="rId11">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and adopted by reference at </w:t>
      </w:r>
      <w:hyperlink r:id="rId12">
        <w:r>
          <w:rPr>
            <w:rStyle w:val="Hyperlink"/>
            <w:rFonts w:ascii="Times New Roman" w:hAnsi="Times New Roman"/>
            <w:b w:val="false"/>
            <w:i w:val="false"/>
            <w:color w:val="000000"/>
            <w:sz w:val="22"/>
          </w:rPr>
          <w:t>571—7.1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48.7(1)</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reports. </w:t>
      </w:r>
      <w:r>
        <w:rPr>
          <w:rFonts w:ascii="Times New Roman" w:hAnsi="Times New Roman"/>
          <w:b w:val="false"/>
          <w:i w:val="false"/>
          <w:color w:val="000000"/>
          <w:sz w:val="22"/>
        </w:rPr>
        <w:t>The department shall, within 60 days of receipt of an initial inspection, quarterly or annual report, determine the adequacy of the report and shall notify the submitting party of such determination. The submitting party shall be given a minimum of 60 days to cure any inadequacy not involving critical systems or maritime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48.7(2)</w:t>
      </w:r>
      <w:r>
        <w:rPr>
          <w:rFonts w:ascii="Times New Roman" w:hAnsi="Times New Roman"/>
          <w:b w:val="false"/>
          <w:i w:val="false"/>
          <w:color w:val="000000"/>
          <w:sz w:val="22"/>
        </w:rPr>
        <w:t> </w:t>
      </w:r>
      <w:r>
        <w:rPr>
          <w:rFonts w:ascii="Times New Roman" w:hAnsi="Times New Roman"/>
          <w:b w:val="false"/>
          <w:i/>
          <w:color w:val="000000"/>
          <w:sz w:val="22"/>
        </w:rPr>
        <w:t xml:space="preserve">Correction reports. </w:t>
      </w:r>
      <w:r>
        <w:rPr>
          <w:rFonts w:ascii="Times New Roman" w:hAnsi="Times New Roman"/>
          <w:b w:val="false"/>
          <w:i w:val="false"/>
          <w:color w:val="000000"/>
          <w:sz w:val="22"/>
        </w:rPr>
        <w:t>To minimize safety and maritime security risks to the public, the environment and the PMV itself, deficiencies found in critical systems or security systems shall be immediately reported to the department. After consulting with the PMV operator, the department may issue a correction report if the deficiency was not immediately corrected. The correction report will direct the PMV operator to take corrective action within a specific period of time that is based on the nature and severity of the deficiency.</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99F.7(14)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462A.20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5/13/05 after Notice 3/2/05—published 6/8/05, effective 5/13/05]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F.7.pdf" Type="http://schemas.openxmlformats.org/officeDocument/2006/relationships/hyperlink" Id="rId5"/>
    <Relationship TargetMode="External" Target="https://www.legis.iowa.gov/docs/ico/chapter/462A.20.pdf" Type="http://schemas.openxmlformats.org/officeDocument/2006/relationships/hyperlink" Id="rId6"/>
    <Relationship TargetMode="External" Target="https://www.legis.iowa.gov/docs/iac/rule/567.48.5.pdf" Type="http://schemas.openxmlformats.org/officeDocument/2006/relationships/hyperlink" Id="rId7"/>
    <Relationship TargetMode="External" Target="https://www.legis.iowa.gov/docs/iac/chapter/561.8.pdf" Type="http://schemas.openxmlformats.org/officeDocument/2006/relationships/hyperlink" Id="rId8"/>
    <Relationship TargetMode="External" Target="https://www.legis.iowa.gov/docs/iac/rule/571.8.1.pdf" Type="http://schemas.openxmlformats.org/officeDocument/2006/relationships/hyperlink" Id="rId9"/>
    <Relationship TargetMode="External" Target="https://www.legis.iowa.gov/docs/ico/chapter/99F.pdf" Type="http://schemas.openxmlformats.org/officeDocument/2006/relationships/hyperlink" Id="rId10"/>
    <Relationship TargetMode="External" Target="https://www.legis.iowa.gov/docs/iac/chapter/561.7.pdf" Type="http://schemas.openxmlformats.org/officeDocument/2006/relationships/hyperlink" Id="rId11"/>
    <Relationship TargetMode="External" Target="https://www.legis.iowa.gov/docs/iac/rule/571.7.1.pdf" Type="http://schemas.openxmlformats.org/officeDocument/2006/relationships/hyperlink" Id="rId12"/>
    <Relationship TargetMode="External" Target="https://www.legis.iowa.gov/docs/ico/chapter/99F.7.pdf" Type="http://schemas.openxmlformats.org/officeDocument/2006/relationships/hyperlink" Id="rId13"/>
    <Relationship TargetMode="External" Target="https://www.legis.iowa.gov/docs/ico/chapter/462A.20.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