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w:t>
      </w:r>
    </w:p>
    <w:p>
      <w:pPr>
        <w:spacing w:before="0" w:after="0"/>
        <w:ind w:left="120"/>
        <w:jc w:val="center"/>
      </w:pPr>
      <w:r>
        <w:rPr>
          <w:rFonts w:ascii="Times New Roman" w:hAnsi="Times New Roman"/>
          <w:b w:val="false"/>
          <w:i w:val="false"/>
          <w:color w:val="000000"/>
          <w:sz w:val="21"/>
        </w:rPr>
        <w:t>BOAT MOTOR REGULATIONS</w:t>
      </w:r>
    </w:p>
    <w:p>
      <w:pPr>
        <w:spacing w:before="0" w:after="0"/>
        <w:ind w:left="120"/>
        <w:jc w:val="center"/>
      </w:pPr>
      <w:r>
        <w:rPr>
          <w:rFonts w:ascii="Times New Roman" w:hAnsi="Times New Roman"/>
          <w:b w:val="false"/>
          <w:i w:val="false"/>
          <w:color w:val="000000"/>
          <w:sz w:val="14"/>
        </w:rPr>
        <w:t>[Prior to 12/31/86, Conservation Commission[290] Ch 40]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571—45.1</w:t>
      </w:r>
      <w:r>
        <w:rPr>
          <w:rFonts w:ascii="Times New Roman" w:hAnsi="Times New Roman"/>
          <w:b/>
          <w:i w:val="false"/>
          <w:color w:val="000000"/>
          <w:sz w:val="22"/>
        </w:rPr>
        <w:t xml:space="preserve">(462A) </w:t>
      </w:r>
      <w:r>
        <w:rPr>
          <w:rFonts w:ascii="Times New Roman" w:hAnsi="Times New Roman"/>
          <w:b/>
          <w:i w:val="false"/>
          <w:color w:val="000000"/>
          <w:sz w:val="22"/>
        </w:rPr>
        <w:t xml:space="preserve">Horsepower rating. </w:t>
      </w:r>
      <w:r>
        <w:rPr>
          <w:rFonts w:ascii="Times New Roman" w:hAnsi="Times New Roman"/>
          <w:b w:val="false"/>
          <w:i w:val="false"/>
          <w:color w:val="000000"/>
          <w:sz w:val="22"/>
        </w:rPr>
        <w:t xml:space="preserve">The horsepower rating of an outboard motor permitted on artificial lakes under the authority of Iowa Code chapter </w:t>
      </w:r>
      <w:hyperlink r:id="rId5">
        <w:r>
          <w:rPr>
            <w:rStyle w:val="Hyperlink"/>
            <w:rFonts w:ascii="Times New Roman" w:hAnsi="Times New Roman"/>
            <w:b w:val="false"/>
            <w:i w:val="false"/>
            <w:color w:val="000000"/>
            <w:sz w:val="22"/>
          </w:rPr>
          <w:t>462A</w:t>
        </w:r>
      </w:hyperlink>
      <w:r>
        <w:rPr>
          <w:rFonts w:ascii="Times New Roman" w:hAnsi="Times New Roman"/>
          <w:b w:val="false"/>
          <w:i w:val="false"/>
          <w:color w:val="000000"/>
          <w:sz w:val="22"/>
        </w:rPr>
        <w:t>, and these rules, shall be as determined by the manufacturer when the motor was originally produced.</w:t>
      </w:r>
    </w:p>
    <w:p>
      <w:pPr>
        <w:spacing w:before="210" w:after="0"/>
        <w:ind w:left="120"/>
        <w:jc w:val="both"/>
      </w:pPr>
      <w:r>
        <w:rPr>
          <w:rFonts w:ascii="Times New Roman" w:hAnsi="Times New Roman"/>
          <w:b/>
          <w:i w:val="false"/>
          <w:color w:val="000000"/>
          <w:sz w:val="22"/>
        </w:rPr>
        <w:t>571—45.2</w:t>
      </w:r>
      <w:r>
        <w:rPr>
          <w:rFonts w:ascii="Times New Roman" w:hAnsi="Times New Roman"/>
          <w:b/>
          <w:i w:val="false"/>
          <w:color w:val="000000"/>
          <w:sz w:val="22"/>
        </w:rPr>
        <w:t xml:space="preserve">(462A) </w:t>
      </w:r>
      <w:r>
        <w:rPr>
          <w:rFonts w:ascii="Times New Roman" w:hAnsi="Times New Roman"/>
          <w:b/>
          <w:i w:val="false"/>
          <w:color w:val="000000"/>
          <w:sz w:val="22"/>
        </w:rPr>
        <w:t xml:space="preserve">Alteration of horsepower rating. </w:t>
      </w:r>
      <w:r>
        <w:rPr>
          <w:rFonts w:ascii="Times New Roman" w:hAnsi="Times New Roman"/>
          <w:b w:val="false"/>
          <w:i w:val="false"/>
          <w:color w:val="000000"/>
          <w:sz w:val="22"/>
        </w:rPr>
        <w:t>An outboard motor which has been altered to increase its horsepower in excess of ten as rated by the original manufacturer shall not be permitted on artificial lakes.</w:t>
      </w:r>
    </w:p>
    <w:p>
      <w:pPr>
        <w:spacing w:before="210" w:after="0"/>
        <w:ind w:left="120"/>
        <w:jc w:val="both"/>
      </w:pPr>
      <w:r>
        <w:rPr>
          <w:rFonts w:ascii="Times New Roman" w:hAnsi="Times New Roman"/>
          <w:b/>
          <w:i w:val="false"/>
          <w:color w:val="000000"/>
          <w:sz w:val="22"/>
        </w:rPr>
        <w:t>571—45.3</w:t>
      </w:r>
      <w:r>
        <w:rPr>
          <w:rFonts w:ascii="Times New Roman" w:hAnsi="Times New Roman"/>
          <w:b/>
          <w:i w:val="false"/>
          <w:color w:val="000000"/>
          <w:sz w:val="22"/>
        </w:rPr>
        <w:t xml:space="preserve">(462A) </w:t>
      </w:r>
      <w:r>
        <w:rPr>
          <w:rFonts w:ascii="Times New Roman" w:hAnsi="Times New Roman"/>
          <w:b/>
          <w:i w:val="false"/>
          <w:color w:val="000000"/>
          <w:sz w:val="22"/>
        </w:rPr>
        <w:t xml:space="preserve">Propulsion mechanism not in use. </w:t>
      </w:r>
      <w:r>
        <w:rPr>
          <w:rFonts w:ascii="Times New Roman" w:hAnsi="Times New Roman"/>
          <w:b w:val="false"/>
          <w:i w:val="false"/>
          <w:color w:val="000000"/>
          <w:sz w:val="22"/>
        </w:rPr>
        <w:t>Any power unit mounted or carried aboard a vessel, while not being used or operated as a source of propulsion, shall be lawful on artificial lakes, so long as the auxiliary power unit being used or operated as a source of propulsion is within the lawful horsepower limitation established for that lake.</w:t>
      </w:r>
    </w:p>
    <w:p>
      <w:pPr>
        <w:spacing w:before="0" w:after="0"/>
        <w:ind w:left="120"/>
        <w:jc w:val="both"/>
      </w:pPr>
      <w:r>
        <w:rPr>
          <w:rFonts w:ascii="Times New Roman" w:hAnsi="Times New Roman"/>
          <w:b/>
          <w:i w:val="false"/>
          <w:color w:val="000000"/>
          <w:sz w:val="22"/>
        </w:rPr>
        <w:t>571—45.4</w:t>
      </w:r>
      <w:r>
        <w:rPr>
          <w:rFonts w:ascii="Times New Roman" w:hAnsi="Times New Roman"/>
          <w:b/>
          <w:i w:val="false"/>
          <w:color w:val="000000"/>
          <w:sz w:val="22"/>
        </w:rPr>
        <w:t xml:space="preserve">(462A) </w:t>
      </w:r>
      <w:r>
        <w:rPr>
          <w:rFonts w:ascii="Times New Roman" w:hAnsi="Times New Roman"/>
          <w:b/>
          <w:i w:val="false"/>
          <w:color w:val="000000"/>
          <w:sz w:val="22"/>
        </w:rPr>
        <w:t xml:space="preserve">Horsepower limitations on artificial lakes.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color w:val="000000"/>
          <w:sz w:val="22"/>
        </w:rPr>
        <w:t xml:space="preserve">General horsepower limitation. </w:t>
      </w:r>
      <w:r>
        <w:rPr>
          <w:rFonts w:ascii="Times New Roman" w:hAnsi="Times New Roman"/>
          <w:b w:val="false"/>
          <w:i w:val="false"/>
          <w:color w:val="000000"/>
          <w:sz w:val="22"/>
        </w:rPr>
        <w:t xml:space="preserve">On artificial lakes of 100 acres or less, a vessel shall only be operated with an electric motor or with an outboard motor where permitted by subrule </w:t>
      </w:r>
      <w:hyperlink r:id="rId6">
        <w:r>
          <w:rPr>
            <w:rStyle w:val="Hyperlink"/>
            <w:rFonts w:ascii="Times New Roman" w:hAnsi="Times New Roman"/>
            <w:b w:val="false"/>
            <w:i w:val="false"/>
            <w:color w:val="000000"/>
            <w:sz w:val="22"/>
          </w:rPr>
          <w:t>45.4(2)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color w:val="000000"/>
          <w:sz w:val="22"/>
        </w:rPr>
        <w:t xml:space="preserve">Horsepower limitation exceptions for artificial lakes of 100 acres or less. </w:t>
      </w:r>
      <w:r>
        <w:rPr>
          <w:rFonts w:ascii="Times New Roman" w:hAnsi="Times New Roman"/>
          <w:b w:val="false"/>
          <w:i w:val="false"/>
          <w:color w:val="000000"/>
          <w:sz w:val="22"/>
        </w:rPr>
        <w:t>Motors larger than 1½ horsepower may be operated on the following lakes as designated:</w:t>
      </w:r>
    </w:p>
    <w:p>
      <w:pPr>
        <w:spacing w:before="0" w:after="0"/>
        <w:ind w:left="120"/>
        <w:jc w:val="both"/>
      </w:pPr>
      <w:r>
        <w:rPr>
          <w:rFonts w:ascii="Times New Roman" w:hAnsi="Times New Roman"/>
          <w:b w:val="false"/>
          <w:i w:val="false"/>
          <w:color w:val="000000"/>
          <w:sz w:val="22"/>
        </w:rPr>
        <w:t>Avenue of the Saints Lake, Bremer County—unrestricted horsepower at a speed not greater than 5 miles per hour.</w:t>
      </w:r>
    </w:p>
    <w:p>
      <w:pPr>
        <w:spacing w:before="0" w:after="0"/>
        <w:ind w:left="120"/>
        <w:jc w:val="both"/>
      </w:pPr>
      <w:r>
        <w:rPr>
          <w:rFonts w:ascii="Times New Roman" w:hAnsi="Times New Roman"/>
          <w:b w:val="false"/>
          <w:i w:val="false"/>
          <w:color w:val="000000"/>
          <w:sz w:val="22"/>
        </w:rPr>
        <w:t>Banner Lakes at Summerset State Park, Warren County—motorboats of outboard or inboard/outdrive type and unrestricted horsepower at a speed not greater than 5 miles per hour.</w:t>
      </w:r>
    </w:p>
    <w:p>
      <w:pPr>
        <w:spacing w:before="0" w:after="0"/>
        <w:ind w:left="120"/>
        <w:jc w:val="both"/>
      </w:pPr>
      <w:r>
        <w:rPr>
          <w:rFonts w:ascii="Times New Roman" w:hAnsi="Times New Roman"/>
          <w:b w:val="false"/>
          <w:i w:val="false"/>
          <w:color w:val="000000"/>
          <w:sz w:val="22"/>
        </w:rPr>
        <w:t>Beaver Lake, Dallas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Beeds Lake, Franklin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Black Hawk Pits, Sac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Crawford Creek Recreation Area Lake, Ida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Deer Creek Lake, Plymouth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Fogle Lake, Ringgold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George Wyth Lake, Black Hawk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Lake Iowa, Iowa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Lake of Three Fires, Taylor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Loch Ayr, Ringgold County—outboard motors not greater than 100 horsepower.</w:t>
      </w:r>
    </w:p>
    <w:p>
      <w:pPr>
        <w:spacing w:before="0" w:after="0"/>
        <w:ind w:left="120"/>
        <w:jc w:val="both"/>
      </w:pPr>
      <w:r>
        <w:rPr>
          <w:rFonts w:ascii="Times New Roman" w:hAnsi="Times New Roman"/>
          <w:b w:val="false"/>
          <w:i w:val="false"/>
          <w:color w:val="000000"/>
          <w:sz w:val="22"/>
        </w:rPr>
        <w:t>Meadow Lake, Adair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Otter Creek Lake, Tama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Silver Lake, Delaware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Thayer Lake, Union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Williamson Pond, Lucas County—unrestricted horsepower operated at a speed not greater than 5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color w:val="000000"/>
          <w:sz w:val="22"/>
        </w:rPr>
        <w:t xml:space="preserve">Horsepower limitations for artificial lakes of more than 100 acres in size. </w:t>
      </w:r>
      <w:r>
        <w:rPr>
          <w:rFonts w:ascii="Times New Roman" w:hAnsi="Times New Roman"/>
          <w:b w:val="false"/>
          <w:i w:val="false"/>
          <w:color w:val="000000"/>
          <w:sz w:val="22"/>
        </w:rPr>
        <w:t xml:space="preserve">On artificial lakes of more than 100 acres, vessels may be operated with unrestricted horsepower at a speed not greater than 5 miles per hour except as otherwise permitted by subrule </w:t>
      </w:r>
      <w:hyperlink r:id="rId7">
        <w:r>
          <w:rPr>
            <w:rStyle w:val="Hyperlink"/>
            <w:rFonts w:ascii="Times New Roman" w:hAnsi="Times New Roman"/>
            <w:b w:val="false"/>
            <w:i w:val="false"/>
            <w:color w:val="000000"/>
            <w:sz w:val="22"/>
          </w:rPr>
          <w:t>45.4(2)</w:t>
        </w:r>
      </w:hyperlink>
      <w:r>
        <w:rPr>
          <w:rFonts w:ascii="Times New Roman" w:hAnsi="Times New Roman"/>
          <w:b w:val="false"/>
          <w:i w:val="false"/>
          <w:color w:val="000000"/>
          <w:sz w:val="22"/>
        </w:rPr>
        <w:t>. The following artificial lakes have special horsepower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Green Valley Lake, Union County—no inboard or racing-type craft are permitted. Vessels must be operated at a speed not greater than 5 miles per hour except in designated ski areas as established in </w:t>
      </w:r>
      <w:hyperlink r:id="rId8">
        <w:r>
          <w:rPr>
            <w:rStyle w:val="Hyperlink"/>
            <w:rFonts w:ascii="Times New Roman" w:hAnsi="Times New Roman"/>
            <w:b w:val="false"/>
            <w:i w:val="false"/>
            <w:color w:val="000000"/>
            <w:sz w:val="22"/>
          </w:rPr>
          <w:t>571—36.7(462A)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Lake Icaria, Adams County—motorboats of outboard or inboard/outdrive type. Vessels must be operated at a speed not greater than 5 miles per hour when within 50 feet of another vessel which is not underway or is operating at a speed not greater than 5 miles per hour. Additional speed and distance regulations apply as established in </w:t>
      </w:r>
      <w:hyperlink r:id="rId9">
        <w:r>
          <w:rPr>
            <w:rStyle w:val="Hyperlink"/>
            <w:rFonts w:ascii="Times New Roman" w:hAnsi="Times New Roman"/>
            <w:b w:val="false"/>
            <w:i w:val="false"/>
            <w:color w:val="000000"/>
            <w:sz w:val="22"/>
          </w:rPr>
          <w:t>571—40.20(462A)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Lake Macbride, Johnson County—unrestricted horsepower operated at a speed not greater than 5 miles per hour only from September 8 through May 20 of each year. A motorboat with a power unit exceeding 10 horsepower shall not be permitted the remainder of the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Three Mile Lake, Union County—motorboats of outboard or inboard/outdrive type with power not to exceed 200 horsepower. Vessels must be operated at a speed not greater than 5 miles per hour when within 50 feet of another vessel which is not underway or is operating at a speed not greater than 5 miles per hour. Additional speed and distance regulations apply as established in </w:t>
      </w:r>
      <w:hyperlink r:id="rId10">
        <w:r>
          <w:rPr>
            <w:rStyle w:val="Hyperlink"/>
            <w:rFonts w:ascii="Times New Roman" w:hAnsi="Times New Roman"/>
            <w:b w:val="false"/>
            <w:i w:val="false"/>
            <w:color w:val="000000"/>
            <w:sz w:val="22"/>
          </w:rPr>
          <w:t>571—40.44(462A)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9446B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571—45.5</w:t>
      </w:r>
      <w:r>
        <w:rPr>
          <w:rFonts w:ascii="Times New Roman" w:hAnsi="Times New Roman"/>
          <w:b/>
          <w:i w:val="false"/>
          <w:color w:val="000000"/>
          <w:sz w:val="22"/>
        </w:rPr>
        <w:t xml:space="preserve">(462A) </w:t>
      </w:r>
      <w:r>
        <w:rPr>
          <w:rFonts w:ascii="Times New Roman" w:hAnsi="Times New Roman"/>
          <w:b/>
          <w:i w:val="false"/>
          <w:color w:val="000000"/>
          <w:sz w:val="22"/>
        </w:rPr>
        <w:t xml:space="preserve">Artificial marshes. </w:t>
      </w:r>
      <w:r>
        <w:rPr>
          <w:rFonts w:ascii="Times New Roman" w:hAnsi="Times New Roman"/>
          <w:b w:val="false"/>
          <w:i w:val="false"/>
          <w:color w:val="000000"/>
          <w:sz w:val="22"/>
        </w:rPr>
        <w:t>A motorboat equipped with any power unit mounted or carried aboard the vessel may be operated on the following listed artificial marshes under the jurisdiction of the department of natural resources at a speed not greater than 5 miles per hour between January 1 and August 31 and with no speed restrictions between September 1 and December 31.</w:t>
      </w:r>
    </w:p>
    <w:p>
      <w:pPr>
        <w:spacing w:before="0" w:after="0"/>
        <w:ind w:left="120"/>
        <w:jc w:val="both"/>
      </w:pPr>
      <w:r>
        <w:rPr>
          <w:rFonts w:ascii="Times New Roman" w:hAnsi="Times New Roman"/>
          <w:b w:val="false"/>
          <w:i w:val="false"/>
          <w:color w:val="000000"/>
          <w:sz w:val="22"/>
        </w:rPr>
        <w:t>Bays Branch, Guthrie County</w:t>
      </w:r>
    </w:p>
    <w:p>
      <w:pPr>
        <w:spacing w:before="0" w:after="0"/>
        <w:ind w:left="120"/>
        <w:jc w:val="both"/>
      </w:pPr>
      <w:r>
        <w:rPr>
          <w:rFonts w:ascii="Times New Roman" w:hAnsi="Times New Roman"/>
          <w:b w:val="false"/>
          <w:i w:val="false"/>
          <w:color w:val="000000"/>
          <w:sz w:val="22"/>
        </w:rPr>
        <w:t>Big Marsh, Butler County</w:t>
      </w:r>
    </w:p>
    <w:p>
      <w:pPr>
        <w:spacing w:before="0" w:after="0"/>
        <w:ind w:left="120"/>
        <w:jc w:val="both"/>
      </w:pPr>
      <w:r>
        <w:rPr>
          <w:rFonts w:ascii="Times New Roman" w:hAnsi="Times New Roman"/>
          <w:b w:val="false"/>
          <w:i w:val="false"/>
          <w:color w:val="000000"/>
          <w:sz w:val="22"/>
        </w:rPr>
        <w:t>Brown’s Slough, Lucas County</w:t>
      </w:r>
    </w:p>
    <w:p>
      <w:pPr>
        <w:spacing w:before="0" w:after="0"/>
        <w:ind w:left="120"/>
        <w:jc w:val="both"/>
      </w:pPr>
      <w:r>
        <w:rPr>
          <w:rFonts w:ascii="Times New Roman" w:hAnsi="Times New Roman"/>
          <w:b w:val="false"/>
          <w:i w:val="false"/>
          <w:color w:val="000000"/>
          <w:sz w:val="22"/>
        </w:rPr>
        <w:t>Cardinal Marsh, Winneshiek County</w:t>
      </w:r>
    </w:p>
    <w:p>
      <w:pPr>
        <w:spacing w:before="0" w:after="0"/>
        <w:ind w:left="120"/>
        <w:jc w:val="both"/>
      </w:pPr>
      <w:r>
        <w:rPr>
          <w:rFonts w:ascii="Times New Roman" w:hAnsi="Times New Roman"/>
          <w:b w:val="false"/>
          <w:i w:val="false"/>
          <w:color w:val="000000"/>
          <w:sz w:val="22"/>
        </w:rPr>
        <w:t>Dudgeon Lake, Benton County</w:t>
      </w:r>
    </w:p>
    <w:p>
      <w:pPr>
        <w:spacing w:before="0" w:after="0"/>
        <w:ind w:left="120"/>
        <w:jc w:val="both"/>
      </w:pPr>
      <w:r>
        <w:rPr>
          <w:rFonts w:ascii="Times New Roman" w:hAnsi="Times New Roman"/>
          <w:b w:val="false"/>
          <w:i w:val="false"/>
          <w:color w:val="000000"/>
          <w:sz w:val="22"/>
        </w:rPr>
        <w:t>Elk Creek Marsh, Worth County</w:t>
      </w:r>
    </w:p>
    <w:p>
      <w:pPr>
        <w:spacing w:before="0" w:after="0"/>
        <w:ind w:left="120"/>
        <w:jc w:val="both"/>
      </w:pPr>
      <w:r>
        <w:rPr>
          <w:rFonts w:ascii="Times New Roman" w:hAnsi="Times New Roman"/>
          <w:b w:val="false"/>
          <w:i w:val="false"/>
          <w:color w:val="000000"/>
          <w:sz w:val="22"/>
        </w:rPr>
        <w:t>Green Island, Jackson County</w:t>
      </w:r>
    </w:p>
    <w:p>
      <w:pPr>
        <w:spacing w:before="0" w:after="0"/>
        <w:ind w:left="120"/>
        <w:jc w:val="both"/>
      </w:pPr>
      <w:r>
        <w:rPr>
          <w:rFonts w:ascii="Times New Roman" w:hAnsi="Times New Roman"/>
          <w:b w:val="false"/>
          <w:i w:val="false"/>
          <w:color w:val="000000"/>
          <w:sz w:val="22"/>
        </w:rPr>
        <w:t>Hendrickson Marsh, Story County</w:t>
      </w:r>
    </w:p>
    <w:p>
      <w:pPr>
        <w:spacing w:before="0" w:after="0"/>
        <w:ind w:left="120"/>
        <w:jc w:val="both"/>
      </w:pPr>
      <w:r>
        <w:rPr>
          <w:rFonts w:ascii="Times New Roman" w:hAnsi="Times New Roman"/>
          <w:b w:val="false"/>
          <w:i w:val="false"/>
          <w:color w:val="000000"/>
          <w:sz w:val="22"/>
        </w:rPr>
        <w:t>Hooper Pond, Warren County</w:t>
      </w:r>
    </w:p>
    <w:p>
      <w:pPr>
        <w:spacing w:before="0" w:after="0"/>
        <w:ind w:left="120"/>
        <w:jc w:val="both"/>
      </w:pPr>
      <w:r>
        <w:rPr>
          <w:rFonts w:ascii="Times New Roman" w:hAnsi="Times New Roman"/>
          <w:b w:val="false"/>
          <w:i w:val="false"/>
          <w:color w:val="000000"/>
          <w:sz w:val="22"/>
        </w:rPr>
        <w:t>North Colyn, Lucas County</w:t>
      </w:r>
    </w:p>
    <w:p>
      <w:pPr>
        <w:spacing w:before="0" w:after="0"/>
        <w:ind w:left="120"/>
        <w:jc w:val="both"/>
      </w:pPr>
      <w:r>
        <w:rPr>
          <w:rFonts w:ascii="Times New Roman" w:hAnsi="Times New Roman"/>
          <w:b w:val="false"/>
          <w:i w:val="false"/>
          <w:color w:val="000000"/>
          <w:sz w:val="22"/>
        </w:rPr>
        <w:t>Otter Creek Marsh, Tama County</w:t>
      </w:r>
    </w:p>
    <w:p>
      <w:pPr>
        <w:spacing w:before="0" w:after="0"/>
        <w:ind w:left="120"/>
        <w:jc w:val="both"/>
      </w:pPr>
      <w:r>
        <w:rPr>
          <w:rFonts w:ascii="Times New Roman" w:hAnsi="Times New Roman"/>
          <w:b w:val="false"/>
          <w:i w:val="false"/>
          <w:color w:val="000000"/>
          <w:sz w:val="22"/>
        </w:rPr>
        <w:t>Princeton Area, Scott County</w:t>
      </w:r>
    </w:p>
    <w:p>
      <w:pPr>
        <w:spacing w:before="0" w:after="0"/>
        <w:ind w:left="120"/>
        <w:jc w:val="both"/>
      </w:pPr>
      <w:r>
        <w:rPr>
          <w:rFonts w:ascii="Times New Roman" w:hAnsi="Times New Roman"/>
          <w:b w:val="false"/>
          <w:i w:val="false"/>
          <w:color w:val="000000"/>
          <w:sz w:val="22"/>
        </w:rPr>
        <w:t>Riverton, Fremont County</w:t>
      </w:r>
    </w:p>
    <w:p>
      <w:pPr>
        <w:spacing w:before="0" w:after="0"/>
        <w:ind w:left="120"/>
        <w:jc w:val="both"/>
      </w:pPr>
      <w:r>
        <w:rPr>
          <w:rFonts w:ascii="Times New Roman" w:hAnsi="Times New Roman"/>
          <w:b w:val="false"/>
          <w:i w:val="false"/>
          <w:color w:val="000000"/>
          <w:sz w:val="22"/>
        </w:rPr>
        <w:t>Round Pond, Johnson County</w:t>
      </w:r>
    </w:p>
    <w:p>
      <w:pPr>
        <w:spacing w:before="0" w:after="0"/>
        <w:ind w:left="120"/>
        <w:jc w:val="both"/>
      </w:pPr>
      <w:r>
        <w:rPr>
          <w:rFonts w:ascii="Times New Roman" w:hAnsi="Times New Roman"/>
          <w:b w:val="false"/>
          <w:i w:val="false"/>
          <w:color w:val="000000"/>
          <w:sz w:val="22"/>
        </w:rPr>
        <w:t>South Colyn, Lucas County</w:t>
      </w:r>
    </w:p>
    <w:p>
      <w:pPr>
        <w:spacing w:before="0" w:after="0"/>
        <w:ind w:left="120"/>
        <w:jc w:val="both"/>
      </w:pPr>
      <w:r>
        <w:rPr>
          <w:rFonts w:ascii="Times New Roman" w:hAnsi="Times New Roman"/>
          <w:b w:val="false"/>
          <w:i w:val="false"/>
          <w:color w:val="000000"/>
          <w:sz w:val="22"/>
        </w:rPr>
        <w:t>Sweet Marsh, Bremer County</w:t>
      </w:r>
    </w:p>
    <w:p>
      <w:pPr>
        <w:spacing w:before="0" w:after="0"/>
        <w:ind w:left="120"/>
        <w:jc w:val="both"/>
      </w:pPr>
      <w:r>
        <w:rPr>
          <w:rFonts w:ascii="Times New Roman" w:hAnsi="Times New Roman"/>
          <w:b w:val="false"/>
          <w:i w:val="false"/>
          <w:color w:val="000000"/>
          <w:sz w:val="22"/>
        </w:rPr>
        <w:t>Walnut Creek Marsh, Ringgold County</w:t>
      </w:r>
    </w:p>
    <w:p>
      <w:pPr>
        <w:spacing w:before="0" w:after="0"/>
        <w:ind w:left="120"/>
        <w:jc w:val="both"/>
      </w:pPr>
      <w:r>
        <w:rPr>
          <w:rFonts w:ascii="Times New Roman" w:hAnsi="Times New Roman"/>
          <w:b w:val="false"/>
          <w:i w:val="false"/>
          <w:color w:val="000000"/>
          <w:sz w:val="22"/>
        </w:rPr>
        <w:t>Willow Slough, Mills County</w:t>
      </w:r>
    </w:p>
    <w:p>
      <w:pPr>
        <w:spacing w:before="0" w:after="0"/>
        <w:ind w:left="120"/>
        <w:jc w:val="both"/>
      </w:pPr>
      <w:r>
        <w:rPr>
          <w:rFonts w:ascii="Times New Roman" w:hAnsi="Times New Roman"/>
          <w:b w:val="false"/>
          <w:i w:val="false"/>
          <w:color w:val="000000"/>
          <w:sz w:val="22"/>
        </w:rPr>
        <w:t>Woodpecker Marsh, Wayne County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9446B</w:t>
      </w:r>
      <w:r>
        <w:rPr>
          <w:rFonts w:ascii="Times New Roman" w:hAnsi="Times New Roman"/>
          <w:b w:val="false"/>
          <w:i w:val="false"/>
          <w:color w:val="000000"/>
          <w:sz w:val="16"/>
        </w:rPr>
        <w:t>, IAB 4/6/11, effective 5/11/11</w:t>
      </w:r>
      <w:r>
        <w:rPr>
          <w:rFonts w:ascii="Times New Roman" w:hAnsi="Times New Roman"/>
          <w:b w:val="false"/>
          <w:i w:val="false"/>
          <w:color w:val="000000"/>
          <w:sz w:val="16"/>
        </w:rPr>
        <w:t xml:space="preserve">; </w:t>
      </w:r>
      <w:r>
        <w:rPr>
          <w:rFonts w:ascii="Times New Roman" w:hAnsi="Times New Roman"/>
          <w:b/>
          <w:i w:val="false"/>
          <w:color w:val="000000"/>
          <w:sz w:val="16"/>
        </w:rPr>
        <w:t>ARC 3796C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571—45.6</w:t>
      </w:r>
      <w:r>
        <w:rPr>
          <w:rFonts w:ascii="Times New Roman" w:hAnsi="Times New Roman"/>
          <w:b/>
          <w:i w:val="false"/>
          <w:color w:val="000000"/>
          <w:sz w:val="22"/>
        </w:rPr>
        <w:t xml:space="preserve">(462A) </w:t>
      </w:r>
      <w:r>
        <w:rPr>
          <w:rFonts w:ascii="Times New Roman" w:hAnsi="Times New Roman"/>
          <w:b/>
          <w:i w:val="false"/>
          <w:color w:val="000000"/>
          <w:sz w:val="22"/>
        </w:rPr>
        <w:t xml:space="preserve">Natural marshes.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45.6(1)</w:t>
      </w:r>
      <w:r>
        <w:rPr>
          <w:rFonts w:ascii="Times New Roman" w:hAnsi="Times New Roman"/>
          <w:b w:val="false"/>
          <w:i w:val="false"/>
          <w:color w:val="000000"/>
          <w:sz w:val="22"/>
        </w:rPr>
        <w:t> </w:t>
      </w:r>
      <w:r>
        <w:rPr>
          <w:rFonts w:ascii="Times New Roman" w:hAnsi="Times New Roman"/>
          <w:b w:val="false"/>
          <w:i/>
          <w:color w:val="000000"/>
          <w:sz w:val="22"/>
        </w:rPr>
        <w:t xml:space="preserve">General use. </w:t>
      </w:r>
      <w:r>
        <w:rPr>
          <w:rFonts w:ascii="Times New Roman" w:hAnsi="Times New Roman"/>
          <w:b w:val="false"/>
          <w:i w:val="false"/>
          <w:color w:val="000000"/>
          <w:sz w:val="22"/>
        </w:rPr>
        <w:t>There shall be no horsepower limitations on vessels operated on natural marshes unless otherwise specified by subrule 45.6(2).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45.6(2)</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 xml:space="preserve">The following vessel type, size, or horsepower restrictions shall apply as designated: </w:t>
      </w:r>
    </w:p>
    <w:p>
      <w:pPr>
        <w:spacing w:before="0" w:after="0"/>
        <w:ind w:left="120"/>
        <w:jc w:val="both"/>
      </w:pPr>
      <w:r>
        <w:rPr>
          <w:rFonts w:ascii="Times New Roman" w:hAnsi="Times New Roman"/>
          <w:b w:val="false"/>
          <w:i w:val="false"/>
          <w:color w:val="000000"/>
          <w:sz w:val="22"/>
        </w:rPr>
        <w:t xml:space="preserve">Shimon Marsh Wetlands Complex, Pocahontas County—nonmotorized vessels only.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3796C</w:t>
      </w:r>
      <w:r>
        <w:rPr>
          <w:rFonts w:ascii="Times New Roman" w:hAnsi="Times New Roman"/>
          <w:b w:val="false"/>
          <w:i w:val="false"/>
          <w:color w:val="000000"/>
          <w:sz w:val="16"/>
        </w:rPr>
        <w:t>, IAB 5/9/18, effective 6/13/18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462A.3</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462A.9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462A.26</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462A.31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7/13/82, Notice 4/28/82—published 8/4/82, effective 9/8/82]</w:t>
      </w:r>
    </w:p>
    <w:p>
      <w:pPr>
        <w:spacing w:before="0" w:after="0"/>
        <w:ind w:left="120"/>
        <w:jc w:val="center"/>
      </w:pPr>
      <w:r>
        <w:rPr>
          <w:rFonts w:ascii="Times New Roman" w:hAnsi="Times New Roman"/>
          <w:b w:val="false"/>
          <w:i w:val="false"/>
          <w:color w:val="000000"/>
          <w:sz w:val="21"/>
        </w:rPr>
        <w:t>[Filed 12/2/83, Notice 10/26/83—published 12/21/83, effective 2/1/84]</w:t>
      </w:r>
    </w:p>
    <w:p>
      <w:pPr>
        <w:spacing w:before="0" w:after="0"/>
        <w:ind w:left="120"/>
        <w:jc w:val="center"/>
      </w:pPr>
      <w:r>
        <w:rPr>
          <w:rFonts w:ascii="Times New Roman" w:hAnsi="Times New Roman"/>
          <w:b w:val="false"/>
          <w:i w:val="false"/>
          <w:color w:val="000000"/>
          <w:sz w:val="21"/>
        </w:rPr>
        <w:t>[Filed 4/5/85, Notice 1/30/85—published 4/24/85, effective 5/29/85]</w:t>
      </w:r>
    </w:p>
    <w:p>
      <w:pPr>
        <w:spacing w:before="0" w:after="0"/>
        <w:ind w:left="120"/>
        <w:jc w:val="center"/>
      </w:pPr>
      <w:r>
        <w:rPr>
          <w:rFonts w:ascii="Times New Roman" w:hAnsi="Times New Roman"/>
          <w:b w:val="false"/>
          <w:i w:val="false"/>
          <w:color w:val="000000"/>
          <w:sz w:val="21"/>
        </w:rPr>
        <w:t>[Filed 2/7/86, Notice 9/25/85—published 2/26/86, effective 4/16/86]</w:t>
      </w:r>
    </w:p>
    <w:p>
      <w:pPr>
        <w:spacing w:before="0" w:after="0"/>
        <w:ind w:left="120"/>
        <w:jc w:val="center"/>
      </w:pPr>
      <w:r>
        <w:rPr>
          <w:rFonts w:ascii="Times New Roman" w:hAnsi="Times New Roman"/>
          <w:b w:val="false"/>
          <w:i w:val="false"/>
          <w:color w:val="000000"/>
          <w:sz w:val="21"/>
        </w:rPr>
        <w:t>[Filed 4/4/86, Notice 2/26/86—published 4/23/86, effective 5/28/86]</w:t>
      </w:r>
    </w:p>
    <w:p>
      <w:pPr>
        <w:spacing w:before="0" w:after="0"/>
        <w:ind w:left="120"/>
        <w:jc w:val="center"/>
      </w:pPr>
      <w:r>
        <w:rPr>
          <w:rFonts w:ascii="Times New Roman" w:hAnsi="Times New Roman"/>
          <w:b w:val="false"/>
          <w:i w:val="false"/>
          <w:color w:val="000000"/>
          <w:sz w:val="21"/>
        </w:rPr>
        <w:t>[Filed 10/17/86, Notice 7/30/86—published 11/5/86, effective 12/10/86]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2/20/87, Notice 12/3/86—published 3/11/87, effective 4/15/87]</w:t>
      </w:r>
    </w:p>
    <w:p>
      <w:pPr>
        <w:spacing w:before="0" w:after="0"/>
        <w:ind w:left="120"/>
        <w:jc w:val="center"/>
      </w:pPr>
      <w:r>
        <w:rPr>
          <w:rFonts w:ascii="Times New Roman" w:hAnsi="Times New Roman"/>
          <w:b w:val="false"/>
          <w:i w:val="false"/>
          <w:color w:val="000000"/>
          <w:sz w:val="21"/>
        </w:rPr>
        <w:t>[Filed 6/11/87, Notice 4/8/87—published 7/1/87, effective 8/5/87]</w:t>
      </w:r>
    </w:p>
    <w:p>
      <w:pPr>
        <w:spacing w:before="0" w:after="0"/>
        <w:ind w:left="120"/>
        <w:jc w:val="center"/>
      </w:pPr>
      <w:r>
        <w:rPr>
          <w:rFonts w:ascii="Times New Roman" w:hAnsi="Times New Roman"/>
          <w:b w:val="false"/>
          <w:i w:val="false"/>
          <w:color w:val="000000"/>
          <w:sz w:val="21"/>
        </w:rPr>
        <w:t>[Filed 5/13/88, Notice 3/23/88—published 6/1/88, effective 7/6/88]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10/14/88, Notice 8/24/88—published 11/2/88, effective 12/7/88]</w:t>
      </w:r>
    </w:p>
    <w:p>
      <w:pPr>
        <w:spacing w:before="0" w:after="0"/>
        <w:ind w:left="120"/>
        <w:jc w:val="center"/>
      </w:pPr>
      <w:r>
        <w:rPr>
          <w:rFonts w:ascii="Times New Roman" w:hAnsi="Times New Roman"/>
          <w:b w:val="false"/>
          <w:i w:val="false"/>
          <w:color w:val="000000"/>
          <w:sz w:val="21"/>
        </w:rPr>
        <w:t>[Filed 3/17/89, Notice 12/28/88—published 4/5/89, effective 5/10/89]</w:t>
      </w:r>
    </w:p>
    <w:p>
      <w:pPr>
        <w:spacing w:before="0" w:after="0"/>
        <w:ind w:left="120"/>
        <w:jc w:val="center"/>
      </w:pPr>
      <w:r>
        <w:rPr>
          <w:rFonts w:ascii="Times New Roman" w:hAnsi="Times New Roman"/>
          <w:b w:val="false"/>
          <w:i w:val="false"/>
          <w:color w:val="000000"/>
          <w:sz w:val="21"/>
        </w:rPr>
        <w:t>[Filed 10/12/90, Notice 8/8/90—published 10/31/90, effective 12/5/90]</w:t>
      </w:r>
    </w:p>
    <w:p>
      <w:pPr>
        <w:spacing w:before="0" w:after="0"/>
        <w:ind w:left="120"/>
        <w:jc w:val="center"/>
      </w:pPr>
      <w:r>
        <w:rPr>
          <w:rFonts w:ascii="Times New Roman" w:hAnsi="Times New Roman"/>
          <w:b w:val="false"/>
          <w:i w:val="false"/>
          <w:color w:val="000000"/>
          <w:sz w:val="21"/>
        </w:rPr>
        <w:t>[Filed 5/10/91, Notice 3/6/91—published 5/29/91, effective 7/3/91]</w:t>
      </w:r>
    </w:p>
    <w:p>
      <w:pPr>
        <w:spacing w:before="0" w:after="0"/>
        <w:ind w:left="120"/>
        <w:jc w:val="center"/>
      </w:pPr>
      <w:r>
        <w:rPr>
          <w:rFonts w:ascii="Times New Roman" w:hAnsi="Times New Roman"/>
          <w:b w:val="false"/>
          <w:i w:val="false"/>
          <w:color w:val="000000"/>
          <w:sz w:val="21"/>
        </w:rPr>
        <w:t>[Filed 6/7/91, Notice 4/3/91—published 6/26/91, effective 7/31/91]</w:t>
      </w:r>
    </w:p>
    <w:p>
      <w:pPr>
        <w:spacing w:before="0" w:after="0"/>
        <w:ind w:left="120"/>
        <w:jc w:val="center"/>
      </w:pPr>
      <w:r>
        <w:rPr>
          <w:rFonts w:ascii="Times New Roman" w:hAnsi="Times New Roman"/>
          <w:b w:val="false"/>
          <w:i w:val="false"/>
          <w:color w:val="000000"/>
          <w:sz w:val="21"/>
        </w:rPr>
        <w:t>[Filed 10/11/91, Notice 8/7/91—published 10/30/91, effective 12/4/91]</w:t>
      </w:r>
    </w:p>
    <w:p>
      <w:pPr>
        <w:spacing w:before="0" w:after="0"/>
        <w:ind w:left="120"/>
        <w:jc w:val="center"/>
      </w:pPr>
      <w:r>
        <w:rPr>
          <w:rFonts w:ascii="Times New Roman" w:hAnsi="Times New Roman"/>
          <w:b w:val="false"/>
          <w:i w:val="false"/>
          <w:color w:val="000000"/>
          <w:sz w:val="21"/>
        </w:rPr>
        <w:t>[Filed 10/8/93, Notice 9/1/93—published 10/27/93, effective 12/1/93]</w:t>
      </w:r>
    </w:p>
    <w:p>
      <w:pPr>
        <w:spacing w:before="0" w:after="0"/>
        <w:ind w:left="120"/>
        <w:jc w:val="center"/>
      </w:pPr>
      <w:r>
        <w:rPr>
          <w:rFonts w:ascii="Times New Roman" w:hAnsi="Times New Roman"/>
          <w:b w:val="false"/>
          <w:i w:val="false"/>
          <w:color w:val="000000"/>
          <w:sz w:val="21"/>
        </w:rPr>
        <w:t>[Filed 12/3/93, Notice 10/27/93—published 12/22/93, effective 1/26/94]</w:t>
      </w:r>
    </w:p>
    <w:p>
      <w:pPr>
        <w:spacing w:before="0" w:after="0"/>
        <w:ind w:left="120"/>
        <w:jc w:val="center"/>
      </w:pPr>
      <w:r>
        <w:rPr>
          <w:rFonts w:ascii="Times New Roman" w:hAnsi="Times New Roman"/>
          <w:b w:val="false"/>
          <w:i w:val="false"/>
          <w:color w:val="000000"/>
          <w:sz w:val="21"/>
        </w:rPr>
        <w:t>[Filed emergency 5/20/94—published 6/8/94, effective 5/20/94]</w:t>
      </w:r>
    </w:p>
    <w:p>
      <w:pPr>
        <w:spacing w:before="0" w:after="0"/>
        <w:ind w:left="120"/>
        <w:jc w:val="center"/>
      </w:pPr>
      <w:r>
        <w:rPr>
          <w:rFonts w:ascii="Times New Roman" w:hAnsi="Times New Roman"/>
          <w:b w:val="false"/>
          <w:i w:val="false"/>
          <w:color w:val="000000"/>
          <w:sz w:val="21"/>
        </w:rPr>
        <w:t>[Filed 11/4/94, Notice 8/31/94—published 11/23/94, effective 12/28/94]</w:t>
      </w:r>
    </w:p>
    <w:p>
      <w:pPr>
        <w:spacing w:before="0" w:after="0"/>
        <w:ind w:left="120"/>
        <w:jc w:val="center"/>
      </w:pPr>
      <w:r>
        <w:rPr>
          <w:rFonts w:ascii="Times New Roman" w:hAnsi="Times New Roman"/>
          <w:b w:val="false"/>
          <w:i w:val="false"/>
          <w:color w:val="000000"/>
          <w:sz w:val="21"/>
        </w:rPr>
        <w:t>[Filed 5/15/96, Notice 12/6/95—published 6/5/96, effective 7/10/96]</w:t>
      </w:r>
    </w:p>
    <w:p>
      <w:pPr>
        <w:spacing w:before="0" w:after="0"/>
        <w:ind w:left="120"/>
        <w:jc w:val="center"/>
      </w:pPr>
      <w:r>
        <w:rPr>
          <w:rFonts w:ascii="Times New Roman" w:hAnsi="Times New Roman"/>
          <w:b w:val="false"/>
          <w:i w:val="false"/>
          <w:color w:val="000000"/>
          <w:sz w:val="21"/>
        </w:rPr>
        <w:t>[Filed 9/20/96, Notice 7/3/96—published 10/9/96, effective 11/13/96]</w:t>
      </w:r>
    </w:p>
    <w:p>
      <w:pPr>
        <w:spacing w:before="0" w:after="0"/>
        <w:ind w:left="120"/>
        <w:jc w:val="center"/>
      </w:pPr>
      <w:r>
        <w:rPr>
          <w:rFonts w:ascii="Times New Roman" w:hAnsi="Times New Roman"/>
          <w:b w:val="false"/>
          <w:i w:val="false"/>
          <w:color w:val="000000"/>
          <w:sz w:val="21"/>
        </w:rPr>
        <w:t>[Filed 8/22/97, Notice 6/4/97—published 9/10/97, effective 10/15/97]</w:t>
      </w:r>
    </w:p>
    <w:p>
      <w:pPr>
        <w:spacing w:before="0" w:after="0"/>
        <w:ind w:left="120"/>
        <w:jc w:val="center"/>
      </w:pPr>
      <w:r>
        <w:rPr>
          <w:rFonts w:ascii="Times New Roman" w:hAnsi="Times New Roman"/>
          <w:b w:val="false"/>
          <w:i w:val="false"/>
          <w:color w:val="000000"/>
          <w:sz w:val="21"/>
        </w:rPr>
        <w:t>[Filed 12/11/98, Notice 10/7/98—published 12/30/98, effective 2/3/99]</w:t>
      </w:r>
    </w:p>
    <w:p>
      <w:pPr>
        <w:spacing w:before="0" w:after="0"/>
        <w:ind w:left="120"/>
        <w:jc w:val="center"/>
      </w:pPr>
      <w:r>
        <w:rPr>
          <w:rFonts w:ascii="Times New Roman" w:hAnsi="Times New Roman"/>
          <w:b w:val="false"/>
          <w:i w:val="false"/>
          <w:color w:val="000000"/>
          <w:sz w:val="21"/>
        </w:rPr>
        <w:t>[Filed 12/19/01, Notice 10/31/01—published 1/9/02, effective 2/13/02]</w:t>
      </w:r>
    </w:p>
    <w:p>
      <w:pPr>
        <w:spacing w:before="0" w:after="0"/>
        <w:ind w:left="120"/>
        <w:jc w:val="center"/>
      </w:pPr>
      <w:r>
        <w:rPr>
          <w:rFonts w:ascii="Times New Roman" w:hAnsi="Times New Roman"/>
          <w:b w:val="false"/>
          <w:i w:val="false"/>
          <w:color w:val="000000"/>
          <w:sz w:val="21"/>
        </w:rPr>
        <w:t>[Filed 6/18/04, Notice 1/7/04—published 7/7/04, effective 8/11/04]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9446B</w:t>
      </w:r>
      <w:r>
        <w:rPr>
          <w:rFonts w:ascii="Times New Roman" w:hAnsi="Times New Roman"/>
          <w:b w:val="false"/>
          <w:i w:val="false"/>
          <w:color w:val="000000"/>
          <w:sz w:val="21"/>
        </w:rPr>
        <w:t xml:space="preserve"> (Notice ARC 9117B, IAB 10/6/10)</w:t>
      </w:r>
      <w:r>
        <w:rPr>
          <w:rFonts w:ascii="Times New Roman" w:hAnsi="Times New Roman"/>
          <w:b w:val="false"/>
          <w:i w:val="false"/>
          <w:color w:val="000000"/>
          <w:sz w:val="21"/>
        </w:rPr>
        <w:t>, IAB 4/6/11, effective 5/11/11]</w:t>
      </w:r>
    </w:p>
    <w:p>
      <w:pPr>
        <w:spacing w:before="0" w:after="0"/>
        <w:ind w:left="120"/>
        <w:jc w:val="center"/>
      </w:pPr>
      <w:r>
        <w:rPr>
          <w:rFonts w:ascii="Times New Roman" w:hAnsi="Times New Roman"/>
          <w:b w:val="false"/>
          <w:i w:val="false"/>
          <w:color w:val="000000"/>
          <w:sz w:val="21"/>
        </w:rPr>
        <w:t>[Filed ARC 3796C</w:t>
      </w:r>
      <w:r>
        <w:rPr>
          <w:rFonts w:ascii="Times New Roman" w:hAnsi="Times New Roman"/>
          <w:b w:val="false"/>
          <w:i w:val="false"/>
          <w:color w:val="000000"/>
          <w:sz w:val="21"/>
        </w:rPr>
        <w:t xml:space="preserve"> (Notice ARC 3627C, IAB 2/14/18)</w:t>
      </w:r>
      <w:r>
        <w:rPr>
          <w:rFonts w:ascii="Times New Roman" w:hAnsi="Times New Roman"/>
          <w:b w:val="false"/>
          <w:i w:val="false"/>
          <w:color w:val="000000"/>
          <w:sz w:val="21"/>
        </w:rPr>
        <w:t>, IAB 5/9/18, effective 6/13/18]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62A.pdf" Type="http://schemas.openxmlformats.org/officeDocument/2006/relationships/hyperlink" Id="rId5"/>
    <Relationship TargetMode="External" Target="https://www.legis.iowa.gov/docs/iac/rule/571.45.4.pdf" Type="http://schemas.openxmlformats.org/officeDocument/2006/relationships/hyperlink" Id="rId6"/>
    <Relationship TargetMode="External" Target="https://www.legis.iowa.gov/docs/iac/rule/571.45.4.pdf" Type="http://schemas.openxmlformats.org/officeDocument/2006/relationships/hyperlink" Id="rId7"/>
    <Relationship TargetMode="External" Target="https://www.legis.iowa.gov/docs/iac/rule/571.36.7.pdf" Type="http://schemas.openxmlformats.org/officeDocument/2006/relationships/hyperlink" Id="rId8"/>
    <Relationship TargetMode="External" Target="https://www.legis.iowa.gov/docs/iac/rule/571.40.20.pdf" Type="http://schemas.openxmlformats.org/officeDocument/2006/relationships/hyperlink" Id="rId9"/>
    <Relationship TargetMode="External" Target="https://www.legis.iowa.gov/docs/iac/rule/571.40.44.pdf" Type="http://schemas.openxmlformats.org/officeDocument/2006/relationships/hyperlink" Id="rId10"/>
    <Relationship TargetMode="External" Target="https://www.legis.iowa.gov/docs/ico/chapter/462A.3.pdf" Type="http://schemas.openxmlformats.org/officeDocument/2006/relationships/hyperlink" Id="rId11"/>
    <Relationship TargetMode="External" Target="https://www.legis.iowa.gov/docs/ico/chapter/462A.9.pdf" Type="http://schemas.openxmlformats.org/officeDocument/2006/relationships/hyperlink" Id="rId12"/>
    <Relationship TargetMode="External" Target="https://www.legis.iowa.gov/docs/ico/chapter/462A.26.pdf" Type="http://schemas.openxmlformats.org/officeDocument/2006/relationships/hyperlink" Id="rId13"/>
    <Relationship TargetMode="External" Target="https://www.legis.iowa.gov/docs/ico/chapter/462A.31.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