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44</w:t>
      </w:r>
    </w:p>
    <w:p>
      <w:pPr>
        <w:spacing w:before="0" w:after="0"/>
        <w:ind w:left="120"/>
        <w:jc w:val="center"/>
      </w:pPr>
      <w:r>
        <w:rPr>
          <w:rFonts w:ascii="Times New Roman" w:hAnsi="Times New Roman"/>
          <w:b w:val="false"/>
          <w:i w:val="false"/>
          <w:color w:val="000000"/>
          <w:sz w:val="21"/>
        </w:rPr>
        <w:t>SPECIAL EVENTS AND FIREWORKS DISPLAYS</w:t>
      </w:r>
    </w:p>
    <w:p>
      <w:pPr>
        <w:spacing w:before="0" w:after="0"/>
        <w:ind w:left="120"/>
        <w:jc w:val="center"/>
      </w:pPr>
      <w:r>
        <w:rPr>
          <w:rFonts w:ascii="Times New Roman" w:hAnsi="Times New Roman"/>
          <w:b w:val="false"/>
          <w:i w:val="false"/>
          <w:color w:val="000000"/>
          <w:sz w:val="14"/>
        </w:rPr>
        <w:t>[Prior to 12/31/86, Conservation Commission[290] Ch 35]</w:t>
      </w:r>
    </w:p>
    <w:p>
      <w:pPr>
        <w:spacing w:before="0" w:after="0"/>
        <w:ind w:left="120"/>
        <w:jc w:val="center"/>
      </w:pPr>
      <w:r>
        <w:rPr>
          <w:rFonts w:ascii="Times New Roman" w:hAnsi="Times New Roman"/>
          <w:b w:val="false"/>
          <w:i w:val="false"/>
          <w:color w:val="000000"/>
          <w:sz w:val="14"/>
        </w:rPr>
        <w:t>[Prior to 6/1/11, see also 571—Chs 65 and 88 and subrule 61.7(16)]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571—44.1</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Scope. </w:t>
      </w:r>
      <w:r>
        <w:rPr>
          <w:rFonts w:ascii="Times New Roman" w:hAnsi="Times New Roman"/>
          <w:b w:val="false"/>
          <w:i w:val="false"/>
          <w:color w:val="000000"/>
          <w:sz w:val="22"/>
        </w:rPr>
        <w:t>The purpose of this chapter is to provide rules on the issuance of permits for special events and fireworks displays held on public land, waters, and ice of the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“Accredited postsecondary institution or program” </w:t>
      </w:r>
      <w:r>
        <w:rPr>
          <w:rFonts w:ascii="Times New Roman" w:hAnsi="Times New Roman"/>
          <w:b w:val="false"/>
          <w:i w:val="false"/>
          <w:color w:val="000000"/>
          <w:sz w:val="22"/>
        </w:rPr>
        <w:t>means an institution or program listed in the U.S. Department of Education’s database of accredited postsecondary institutions and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processing fee” </w:t>
      </w:r>
      <w:r>
        <w:rPr>
          <w:rFonts w:ascii="Times New Roman" w:hAnsi="Times New Roman"/>
          <w:b w:val="false"/>
          <w:i w:val="false"/>
          <w:color w:val="000000"/>
          <w:sz w:val="22"/>
        </w:rPr>
        <w:t>means the fee collected for the processing of each special event application that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“All-terrain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“ATV” </w:t>
      </w:r>
      <w:r>
        <w:rPr>
          <w:rFonts w:ascii="Times New Roman" w:hAnsi="Times New Roman"/>
          <w:b w:val="false"/>
          <w:i w:val="false"/>
          <w:color w:val="000000"/>
          <w:sz w:val="22"/>
        </w:rPr>
        <w:t>means a motorized flotation-tire vehicle with not less than three and not more than six low-pressure tires that is limited in engine displacement to less than 1,000 cubic centimeters and in total dry weight to less than 1,000 pounds and that has a seat or saddle designed to be straddled by the operator and handlebars for steering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“Bass fishing tournament” </w:t>
      </w:r>
      <w:r>
        <w:rPr>
          <w:rFonts w:ascii="Times New Roman" w:hAnsi="Times New Roman"/>
          <w:b w:val="false"/>
          <w:i w:val="false"/>
          <w:color w:val="000000"/>
          <w:sz w:val="22"/>
        </w:rPr>
        <w:t xml:space="preserve">means an event with the purpose of fishing for black bass as defined in 2017 Iowa Acts, </w:t>
      </w:r>
      <w:r>
        <w:rPr>
          <w:rFonts w:ascii="Times New Roman" w:hAnsi="Times New Roman"/>
          <w:b w:val="false"/>
          <w:i w:val="false"/>
          <w:color w:val="000000"/>
          <w:sz w:val="22"/>
        </w:rPr>
        <w:t>Senate File 257</w:t>
      </w:r>
      <w:r>
        <w:rPr>
          <w:rFonts w:ascii="Times New Roman" w:hAnsi="Times New Roman"/>
          <w:b w:val="false"/>
          <w:i w:val="false"/>
          <w:color w:val="000000"/>
          <w:sz w:val="22"/>
        </w:rPr>
        <w:t>. For purposes of this chapter, “bass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“Catfish fishing tournament” </w:t>
      </w:r>
      <w:r>
        <w:rPr>
          <w:rFonts w:ascii="Times New Roman" w:hAnsi="Times New Roman"/>
          <w:b w:val="false"/>
          <w:i w:val="false"/>
          <w:color w:val="000000"/>
          <w:sz w:val="22"/>
        </w:rPr>
        <w:t>means an event with the purpose of fishing for catfish from boats that meets the definition of “fishing tournament.” For purposes of this chapter, “catfish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“Centralized special events application system” </w:t>
      </w:r>
      <w:r>
        <w:rPr>
          <w:rFonts w:ascii="Times New Roman" w:hAnsi="Times New Roman"/>
          <w:b w:val="false"/>
          <w:i w:val="false"/>
          <w:color w:val="000000"/>
          <w:sz w:val="22"/>
        </w:rPr>
        <w:t>means the web-based system used by applicants to submit applications for special events as permitted under this chapter. Approved applications shall be placed on a calendar of events web page, accessible from the department’s homepage, to inform the general public of scheduled events on public, or when applicable, private, land, water, and 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“Field and retriever meet or trial” </w:t>
      </w:r>
      <w:r>
        <w:rPr>
          <w:rFonts w:ascii="Times New Roman" w:hAnsi="Times New Roman"/>
          <w:b w:val="false"/>
          <w:i w:val="false"/>
          <w:color w:val="000000"/>
          <w:sz w:val="22"/>
        </w:rPr>
        <w:t xml:space="preserve">means an event held on either private or public land where the skill of dogs in pointing, retrieving, trailing, or chasing any game bird, game animal, or fur-bearing animal is demonstrated. For purposes of this chapter, “field and retriever meet or trial” is included in the definition of “special event” unless otherwise specified.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“Fishing tournament” </w:t>
      </w:r>
      <w:r>
        <w:rPr>
          <w:rFonts w:ascii="Times New Roman" w:hAnsi="Times New Roman"/>
          <w:b w:val="false"/>
          <w:i w:val="false"/>
          <w:color w:val="000000"/>
          <w:sz w:val="22"/>
        </w:rPr>
        <w:t>means any organized fishing event, except for department-sponsored fishing events held for educational purposes, involving any of the following: (1) six or more boats or 12 or more participants, except for waters of the Mississippi River, where the number of boats shall be 20 or more and the number of participants shall be 40 or more; (2) an entry fee is charged; or (3) prizes or other inducements are awarded. Additionally, a “virtual fishing tournament,” also known as a “catch-photo-release” tournament, is a fishing tournament where fish are not possessed (i.e., not placed in a live well) by the angler but instead are photographed and released upon catching. An “aggregated virtual fishing tournament” occurs when all participants are present on one body of water simultaneously. A “distributed virtual fishing tournament” occurs when participants are present on two or more bodies of water. Additionally, only five or fewer participants may be present on any one body of water simultaneously, and the tournament may occur over an extended time frame. For purposes of this chapter, “fishing tournament” is included in the definition of “special event”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“Friends group” </w:t>
      </w:r>
      <w:r>
        <w:rPr>
          <w:rFonts w:ascii="Times New Roman" w:hAnsi="Times New Roman"/>
          <w:b w:val="false"/>
          <w:i w:val="false"/>
          <w:color w:val="000000"/>
          <w:sz w:val="22"/>
        </w:rPr>
        <w:t xml:space="preserve">means an organization incorporated under Iowa Code chapter </w:t>
      </w:r>
      <w:hyperlink r:id="rId5">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or prior statutory authority as a not-for-profit group which has been formed solely for the purpose of promoting and enhancing a particular state park, recreation area, or the Iowa state park system, or any combination of the three.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motorcycle”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“ORM” </w:t>
      </w:r>
      <w:r>
        <w:rPr>
          <w:rFonts w:ascii="Times New Roman" w:hAnsi="Times New Roman"/>
          <w:b w:val="false"/>
          <w:i w:val="false"/>
          <w:color w:val="000000"/>
          <w:sz w:val="22"/>
        </w:rPr>
        <w:t xml:space="preserve">means a two-wheeled motor vehicle that has a seat or saddle designed to be straddled by the operator and handlebars for steering control and that is intended by the manufacturer for use on natural terrain. “Off-road motorcycle” includes a motorcycle that was originally issued a certificate of title and registered for highway use under Iowa Code chapter </w:t>
      </w:r>
      <w:hyperlink r:id="rId6">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but which contains design features that enable operation over natural terrain.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“Off-road utility vehicle”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“OHV” </w:t>
      </w:r>
      <w:r>
        <w:rPr>
          <w:rFonts w:ascii="Times New Roman" w:hAnsi="Times New Roman"/>
          <w:b w:val="false"/>
          <w:i w:val="false"/>
          <w:color w:val="000000"/>
          <w:sz w:val="22"/>
        </w:rPr>
        <w:t xml:space="preserve">means a motorized flotation-tire vehicle with not less than four and not more than eight low-pressure tires that is limited in engine displacement to less than 1,500 cubic centimeters and in total dry weight to not more than 1,800 pounds and that has a seat that is of bucket or bench design, not intended to be straddled by the operator, and a steering wheel or control levers for control. A motorized vehicle that was previously titled or is currently titled under Iowa Code chapter </w:t>
      </w:r>
      <w:hyperlink r:id="rId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shall not be registered or operated as an off-road utility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“Permit” </w:t>
      </w:r>
      <w:r>
        <w:rPr>
          <w:rFonts w:ascii="Times New Roman" w:hAnsi="Times New Roman"/>
          <w:b w:val="false"/>
          <w:i w:val="false"/>
          <w:color w:val="000000"/>
          <w:sz w:val="22"/>
        </w:rPr>
        <w:t xml:space="preserve">means a document issued by the department that enumerates all stipulations, requirements, and contingencies that the applicant must accept and adhere to throughout the duration of the approved special event.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land” </w:t>
      </w:r>
      <w:r>
        <w:rPr>
          <w:rFonts w:ascii="Times New Roman" w:hAnsi="Times New Roman"/>
          <w:b w:val="false"/>
          <w:i w:val="false"/>
          <w:color w:val="000000"/>
          <w:sz w:val="22"/>
        </w:rPr>
        <w:t>means land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“Public water” </w:t>
      </w:r>
      <w:r>
        <w:rPr>
          <w:rFonts w:ascii="Times New Roman" w:hAnsi="Times New Roman"/>
          <w:b w:val="false"/>
          <w:i w:val="false"/>
          <w:color w:val="000000"/>
          <w:sz w:val="22"/>
        </w:rPr>
        <w:t>means water and ice under the jurisdiction of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“Sailing school” </w:t>
      </w:r>
      <w:r>
        <w:rPr>
          <w:rFonts w:ascii="Times New Roman" w:hAnsi="Times New Roman"/>
          <w:b w:val="false"/>
          <w:i w:val="false"/>
          <w:color w:val="000000"/>
          <w:sz w:val="22"/>
        </w:rPr>
        <w:t>means an organization that provides basic and advanced sailing instruction by U.S. Sailing-certified instructors and is affiliated with a yacht club, an accredited postsecondary institution or program, a private or public primary or secondary school, a scouting organization, or a religious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“Snowmobile” </w:t>
      </w:r>
      <w:r>
        <w:rPr>
          <w:rFonts w:ascii="Times New Roman" w:hAnsi="Times New Roman"/>
          <w:b w:val="false"/>
          <w:i w:val="false"/>
          <w:color w:val="000000"/>
          <w:sz w:val="22"/>
        </w:rPr>
        <w:t xml:space="preserve">means a motorized vehicle weighing less than 1,000 pounds which uses sled-type runners or skis, endless belt-type tread with a width of 48 inches or less, or any combination of runners, skis, or tread and which is designed for travel on snow or ice. “Snowmobile” does not include an all-terrain vehicle, as defined in Iowa Code section </w:t>
      </w:r>
      <w:hyperlink r:id="rId8">
        <w:r>
          <w:rPr>
            <w:rStyle w:val="Hyperlink"/>
            <w:rFonts w:ascii="Times New Roman" w:hAnsi="Times New Roman"/>
            <w:b w:val="false"/>
            <w:i w:val="false"/>
            <w:color w:val="000000"/>
            <w:sz w:val="22"/>
          </w:rPr>
          <w:t>321I.1</w:t>
        </w:r>
      </w:hyperlink>
      <w:r>
        <w:rPr>
          <w:rFonts w:ascii="Times New Roman" w:hAnsi="Times New Roman"/>
          <w:b w:val="false"/>
          <w:i w:val="false"/>
          <w:color w:val="000000"/>
          <w:sz w:val="22"/>
        </w:rPr>
        <w:t>, which has been altered or equipped with runners, skis, belt-type tracks, or treads.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event” </w:t>
      </w:r>
      <w:r>
        <w:rPr>
          <w:rFonts w:ascii="Times New Roman" w:hAnsi="Times New Roman"/>
          <w:b w:val="false"/>
          <w:i w:val="false"/>
          <w:color w:val="000000"/>
          <w:sz w:val="22"/>
        </w:rPr>
        <w:t>means either of the following occurring on public land, water, or ice:</w:t>
      </w:r>
    </w:p>
    <w:p>
      <w:pPr>
        <w:spacing w:before="0" w:after="0"/>
        <w:ind w:left="120"/>
        <w:jc w:val="both"/>
      </w:pPr>
      <w:r>
        <w:rPr>
          <w:rFonts w:ascii="Times New Roman" w:hAnsi="Times New Roman"/>
          <w:b w:val="false"/>
          <w:i w:val="false"/>
          <w:color w:val="000000"/>
          <w:sz w:val="22"/>
        </w:rPr>
        <w:t>1. An organized race, tournament, exhibition, demonstration, or other planned event in which an admission fee is charged, prizes are awarded, or competition occurs between participants;</w:t>
      </w:r>
    </w:p>
    <w:p>
      <w:pPr>
        <w:spacing w:before="0" w:after="0"/>
        <w:ind w:left="120"/>
        <w:jc w:val="both"/>
      </w:pPr>
      <w:r>
        <w:rPr>
          <w:rFonts w:ascii="Times New Roman" w:hAnsi="Times New Roman"/>
          <w:b w:val="false"/>
          <w:i w:val="false"/>
          <w:color w:val="000000"/>
          <w:sz w:val="22"/>
        </w:rPr>
        <w:t>2. A planned event that, due to its nature, potential or actual size, or length, would likely adversely impact the use of the area by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“Vessel” </w:t>
      </w:r>
      <w:r>
        <w:rPr>
          <w:rFonts w:ascii="Times New Roman" w:hAnsi="Times New Roman"/>
          <w:b w:val="false"/>
          <w:i w:val="false"/>
          <w:color w:val="000000"/>
          <w:sz w:val="22"/>
        </w:rPr>
        <w:t>means every description of watercraft, other than a seaplane, used or capable of being used as a means of transportation on water or 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3443C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5054C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SPECIAL EVENTS</w:t>
      </w:r>
    </w:p>
    <w:p>
      <w:pPr>
        <w:spacing w:before="0" w:after="0"/>
        <w:ind w:left="120"/>
        <w:jc w:val="both"/>
      </w:pPr>
      <w:r>
        <w:rPr>
          <w:rFonts w:ascii="Times New Roman" w:hAnsi="Times New Roman"/>
          <w:b/>
          <w:i w:val="false"/>
          <w:color w:val="000000"/>
          <w:sz w:val="22"/>
        </w:rPr>
        <w:t>571—44.3</w:t>
      </w:r>
      <w:r>
        <w:rPr>
          <w:rFonts w:ascii="Times New Roman" w:hAnsi="Times New Roman"/>
          <w:b/>
          <w:i w:val="false"/>
          <w:color w:val="000000"/>
          <w:sz w:val="22"/>
        </w:rPr>
        <w:t xml:space="preserve">(321G,321I,461,462A,481A) </w:t>
      </w:r>
      <w:r>
        <w:rPr>
          <w:rFonts w:ascii="Times New Roman" w:hAnsi="Times New Roman"/>
          <w:b/>
          <w:i w:val="false"/>
          <w:color w:val="000000"/>
          <w:sz w:val="22"/>
        </w:rPr>
        <w:t xml:space="preserve">Permit required. </w:t>
      </w:r>
      <w:r>
        <w:rPr>
          <w:rFonts w:ascii="Times New Roman" w:hAnsi="Times New Roman"/>
          <w:b w:val="false"/>
          <w:i w:val="false"/>
          <w:color w:val="000000"/>
          <w:sz w:val="22"/>
        </w:rPr>
        <w:t>A permit is required in order to conduct a special event on any public land, water, or ice. A permit is also required for a field and retriever meet or trial held on private land.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571—44.4</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 xml:space="preserve">The department may impose permit conditions not specifically covered herein as deemed necessary to protect the resource or to ensure public safety. Such conditions shall be included in the permit issued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Use of concessionaire. </w:t>
      </w:r>
      <w:r>
        <w:rPr>
          <w:rFonts w:ascii="Times New Roman" w:hAnsi="Times New Roman"/>
          <w:b w:val="false"/>
          <w:i w:val="false"/>
          <w:color w:val="000000"/>
          <w:sz w:val="22"/>
        </w:rPr>
        <w:t xml:space="preserve">If the state park or recreation area where a special event is being held has a concessionaire, the sale of food or drinks shall be governed pursuant to </w:t>
      </w:r>
      <w:hyperlink r:id="rId9">
        <w:r>
          <w:rPr>
            <w:rStyle w:val="Hyperlink"/>
            <w:rFonts w:ascii="Times New Roman" w:hAnsi="Times New Roman"/>
            <w:b w:val="false"/>
            <w:i w:val="false"/>
            <w:color w:val="000000"/>
            <w:sz w:val="22"/>
          </w:rPr>
          <w:t>571—Chapter 14</w:t>
        </w:r>
      </w:hyperlink>
      <w:r>
        <w:rPr>
          <w:rFonts w:ascii="Times New Roman" w:hAnsi="Times New Roman"/>
          <w:b w:val="false"/>
          <w:i w:val="false"/>
          <w:color w:val="000000"/>
          <w:sz w:val="22"/>
        </w:rPr>
        <w:t>. If a concessionaire chooses not to provide services during the special event, the event sponsor may bring in other concession operations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Special permit conditions for fishing tournaments. </w:t>
      </w:r>
      <w:r>
        <w:rPr>
          <w:rFonts w:ascii="Times New Roman" w:hAnsi="Times New Roman"/>
          <w:b w:val="false"/>
          <w:i w:val="false"/>
          <w:color w:val="000000"/>
          <w:sz w:val="22"/>
        </w:rPr>
        <w:t xml:space="preserve">In addition to permit conditions deemed necessary by rule </w:t>
      </w:r>
      <w:hyperlink r:id="rId10">
        <w:r>
          <w:rPr>
            <w:rStyle w:val="Hyperlink"/>
            <w:rFonts w:ascii="Times New Roman" w:hAnsi="Times New Roman"/>
            <w:b w:val="false"/>
            <w:i w:val="false"/>
            <w:color w:val="000000"/>
            <w:sz w:val="22"/>
          </w:rPr>
          <w:t>571—44.4</w:t>
        </w:r>
      </w:hyperlink>
      <w:r>
        <w:rPr>
          <w:rFonts w:ascii="Times New Roman" w:hAnsi="Times New Roman"/>
          <w:b w:val="false"/>
          <w:i w:val="false"/>
          <w:color w:val="000000"/>
          <w:sz w:val="22"/>
        </w:rPr>
        <w:t>(321G,321I,461A,462A,481A), the department may include some or all of the following permit conditions for fishing tournaments: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Release of live fish.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Fish measured to length and released from boat.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weigh-ins when water temperatures exceed 70°F.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Aerated live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Designated release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Designated release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44.4(3)</w:t>
      </w:r>
      <w:r>
        <w:rPr>
          <w:rFonts w:ascii="Times New Roman" w:hAnsi="Times New Roman"/>
          <w:b w:val="false"/>
          <w:i w:val="false"/>
          <w:color w:val="000000"/>
          <w:sz w:val="22"/>
        </w:rPr>
        <w:t> </w:t>
      </w:r>
      <w:r>
        <w:rPr>
          <w:rFonts w:ascii="Times New Roman" w:hAnsi="Times New Roman"/>
          <w:b w:val="false"/>
          <w:i/>
          <w:color w:val="000000"/>
          <w:sz w:val="22"/>
        </w:rPr>
        <w:t xml:space="preserve">Catfish fishing tournaments. </w:t>
      </w:r>
      <w:r>
        <w:rPr>
          <w:rFonts w:ascii="Times New Roman" w:hAnsi="Times New Roman"/>
          <w:b w:val="false"/>
          <w:i w:val="false"/>
          <w:color w:val="000000"/>
          <w:sz w:val="22"/>
        </w:rPr>
        <w:t>The daily catch limit for a catch and release catfish fishing tournament permitted under this chapter is five catfish per boat regardless of the number of tournament participants on the boat.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44.4(4)</w:t>
      </w:r>
      <w:r>
        <w:rPr>
          <w:rFonts w:ascii="Times New Roman" w:hAnsi="Times New Roman"/>
          <w:b w:val="false"/>
          <w:i w:val="false"/>
          <w:color w:val="000000"/>
          <w:sz w:val="22"/>
        </w:rPr>
        <w:t> </w:t>
      </w:r>
      <w:r>
        <w:rPr>
          <w:rFonts w:ascii="Times New Roman" w:hAnsi="Times New Roman"/>
          <w:b w:val="false"/>
          <w:i/>
          <w:color w:val="000000"/>
          <w:sz w:val="22"/>
        </w:rPr>
        <w:t xml:space="preserve">Bass fishing tournaments. </w:t>
      </w:r>
      <w:r>
        <w:rPr>
          <w:rFonts w:ascii="Times New Roman" w:hAnsi="Times New Roman"/>
          <w:b w:val="false"/>
          <w:i w:val="false"/>
          <w:color w:val="000000"/>
          <w:sz w:val="22"/>
        </w:rPr>
        <w:t>In addition to permit conditions deemed necessary under the introductory paragraph of rule 571—44.4(321G,321I,461A,462A,481A) or under subrule 44.4(2), the permit conditions for bass fishing tournaments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 the minimum requirements for weigh-in, handling, and release of live bass by tournament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 for the measurement of bass to length and release from a vessel.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Allow for the possession of up to five bass for weigh-in during the tournament.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Allow for the possession of bass of any length, so long as the bass are kept alive and are released after weigh-in.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Require the cleaning of vessels, before and after the tournament, in compliance with department guidelines to prevent the transportation of aquatic invasive species.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3443C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571—44.5</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following procedures shall be used to apply for a special event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44.5(1)</w:t>
      </w:r>
      <w:r>
        <w:rPr>
          <w:rFonts w:ascii="Times New Roman" w:hAnsi="Times New Roman"/>
          <w:b w:val="false"/>
          <w:i w:val="false"/>
          <w:color w:val="000000"/>
          <w:sz w:val="22"/>
        </w:rPr>
        <w:t> </w:t>
      </w:r>
      <w:r>
        <w:rPr>
          <w:rFonts w:ascii="Times New Roman" w:hAnsi="Times New Roman"/>
          <w:b w:val="false"/>
          <w:i w:val="false"/>
          <w:color w:val="000000"/>
          <w:sz w:val="22"/>
        </w:rPr>
        <w:t>Applications shall be made and submitted through the department’s centralized special events application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44.5(2)</w:t>
      </w:r>
      <w:r>
        <w:rPr>
          <w:rFonts w:ascii="Times New Roman" w:hAnsi="Times New Roman"/>
          <w:b w:val="false"/>
          <w:i w:val="false"/>
          <w:color w:val="000000"/>
          <w:sz w:val="22"/>
        </w:rPr>
        <w:t> </w:t>
      </w:r>
      <w:r>
        <w:rPr>
          <w:rFonts w:ascii="Times New Roman" w:hAnsi="Times New Roman"/>
          <w:b w:val="false"/>
          <w:i w:val="false"/>
          <w:color w:val="000000"/>
          <w:sz w:val="22"/>
        </w:rPr>
        <w:t>Applications—when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Events for current year. </w:t>
      </w:r>
      <w:r>
        <w:rPr>
          <w:rFonts w:ascii="Times New Roman" w:hAnsi="Times New Roman"/>
          <w:b w:val="false"/>
          <w:i w:val="false"/>
          <w:color w:val="000000"/>
          <w:sz w:val="22"/>
        </w:rPr>
        <w:t>Applications may be submitted anytime during the calendar year in which the special event is to begin but no later than 30 days prior to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Events for the next year. </w:t>
      </w:r>
      <w:r>
        <w:rPr>
          <w:rFonts w:ascii="Times New Roman" w:hAnsi="Times New Roman"/>
          <w:b w:val="false"/>
          <w:i w:val="false"/>
          <w:color w:val="000000"/>
          <w:sz w:val="22"/>
        </w:rPr>
        <w:t>Applications for a special event that will start in the next calendar year shall not be submitted until September 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44.5(3)</w:t>
      </w:r>
      <w:r>
        <w:rPr>
          <w:rFonts w:ascii="Times New Roman" w:hAnsi="Times New Roman"/>
          <w:b w:val="false"/>
          <w:i w:val="false"/>
          <w:color w:val="000000"/>
          <w:sz w:val="22"/>
        </w:rPr>
        <w:t> </w:t>
      </w:r>
      <w:r>
        <w:rPr>
          <w:rFonts w:ascii="Times New Roman" w:hAnsi="Times New Roman"/>
          <w:b w:val="false"/>
          <w:i w:val="false"/>
          <w:color w:val="000000"/>
          <w:sz w:val="22"/>
        </w:rPr>
        <w:t>The number of special events to be held at any area on the same day may be restricted if deemed necessary to avoid congestion within the area or to protect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44.5(4)</w:t>
      </w:r>
      <w:r>
        <w:rPr>
          <w:rFonts w:ascii="Times New Roman" w:hAnsi="Times New Roman"/>
          <w:b w:val="false"/>
          <w:i w:val="false"/>
          <w:color w:val="000000"/>
          <w:sz w:val="22"/>
        </w:rPr>
        <w:t> </w:t>
      </w:r>
      <w:r>
        <w:rPr>
          <w:rFonts w:ascii="Times New Roman" w:hAnsi="Times New Roman"/>
          <w:b w:val="false"/>
          <w:i w:val="false"/>
          <w:color w:val="000000"/>
          <w:sz w:val="22"/>
        </w:rPr>
        <w:t>One application form may be submitted for all events of the same type being held at the same location within a nine-day period and will be processed as a single application. A distributed virtual fishing tournament may extend beyond the nine-day period and need not be at a single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44.5(5)</w:t>
      </w:r>
      <w:r>
        <w:rPr>
          <w:rFonts w:ascii="Times New Roman" w:hAnsi="Times New Roman"/>
          <w:b w:val="false"/>
          <w:i w:val="false"/>
          <w:color w:val="000000"/>
          <w:sz w:val="22"/>
        </w:rPr>
        <w:t> </w:t>
      </w:r>
      <w:r>
        <w:rPr>
          <w:rFonts w:ascii="Times New Roman" w:hAnsi="Times New Roman"/>
          <w:b w:val="false"/>
          <w:i w:val="false"/>
          <w:color w:val="000000"/>
          <w:sz w:val="22"/>
        </w:rPr>
        <w:t>Submission of an application does not guarantee issuance of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44.5(6)</w:t>
      </w:r>
      <w:r>
        <w:rPr>
          <w:rFonts w:ascii="Times New Roman" w:hAnsi="Times New Roman"/>
          <w:b w:val="false"/>
          <w:i w:val="false"/>
          <w:color w:val="000000"/>
          <w:sz w:val="22"/>
        </w:rPr>
        <w:t> </w:t>
      </w:r>
      <w:r>
        <w:rPr>
          <w:rFonts w:ascii="Times New Roman" w:hAnsi="Times New Roman"/>
          <w:b w:val="false"/>
          <w:i w:val="false"/>
          <w:color w:val="000000"/>
          <w:sz w:val="22"/>
        </w:rPr>
        <w:t>Permits are nontransferable.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5054C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571—44.6</w:t>
      </w:r>
      <w:r>
        <w:rPr>
          <w:rFonts w:ascii="Times New Roman" w:hAnsi="Times New Roman"/>
          <w:b/>
          <w:i w:val="false"/>
          <w:color w:val="000000"/>
          <w:sz w:val="22"/>
        </w:rPr>
        <w:t xml:space="preserve">(321G,321I,462A) </w:t>
      </w:r>
      <w:r>
        <w:rPr>
          <w:rFonts w:ascii="Times New Roman" w:hAnsi="Times New Roman"/>
          <w:b/>
          <w:i w:val="false"/>
          <w:color w:val="000000"/>
          <w:sz w:val="22"/>
        </w:rPr>
        <w:t xml:space="preserve">Alternate dates for snowmobile, boating, all-terrain vehicle, off-highway vehicle, and off-road motorcycle special events. </w:t>
      </w:r>
      <w:r>
        <w:rPr>
          <w:rFonts w:ascii="Times New Roman" w:hAnsi="Times New Roman"/>
          <w:b w:val="false"/>
          <w:i w:val="false"/>
          <w:color w:val="000000"/>
          <w:sz w:val="22"/>
        </w:rPr>
        <w:t>An applicant may submit and the department may approve both a primary date and an alternate date for snowmobile, boating, ATV, ORM, and OHV special events. However, if both a primary date and an alternate date are approved, the primary date shall be used unless circumstances beyond the control of the applicant prevent its use. If the alternate date must be used for the event, the applicant shall contact the program coordinator at least one week in advance of the date on which the event shall take place to obtain final approval to use the alternate date. The program coordinator shall document this approval in writing. Upon approval of an alternate date, the applicant shall notify the local conservation officer, and the program coordinator shall update the calendar of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571—44.7</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Insurance coverage. </w:t>
      </w:r>
      <w:r>
        <w:rPr>
          <w:rFonts w:ascii="Times New Roman" w:hAnsi="Times New Roman"/>
          <w:b w:val="false"/>
          <w:i w:val="false"/>
          <w:color w:val="000000"/>
          <w:sz w:val="22"/>
        </w:rPr>
        <w:t>The applicant shall secure liability insurance for the special event and shall name the department as an additional insured. Insurance information shall be available at the time the application is submitted. The applicant shall have a copy of the insurance policy available at the event location to present to department personnel if requested. These requirements shall not apply to events sponsored by a friends group. The department reserves the right to waive these requirements on a case-by-case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571—44.8</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Fees and exceptions. </w:t>
      </w:r>
      <w:r>
        <w:rPr>
          <w:rFonts w:ascii="Times New Roman" w:hAnsi="Times New Roman"/>
          <w:b w:val="false"/>
          <w:i w:val="false"/>
          <w:color w:val="000000"/>
          <w:sz w:val="22"/>
        </w:rPr>
        <w:t>The administrative fee for processing each special event application is $25. In the case of field and retriever meets and trials, the fee for processing each special event application is $2. The fees are nonrefundable.</w:t>
      </w:r>
    </w:p>
    <w:p>
      <w:pPr>
        <w:spacing w:before="0" w:after="0"/>
        <w:ind w:left="120"/>
        <w:jc w:val="both"/>
      </w:pPr>
      <w:r>
        <w:rPr>
          <w:rFonts w:ascii="Times New Roman" w:hAnsi="Times New Roman"/>
          <w:b w:val="false"/>
          <w:i w:val="false"/>
          <w:color w:val="000000"/>
          <w:sz w:val="22"/>
        </w:rPr>
        <w:t>The department shall waive the administrative fee for processing special event applications for sailing schools; accredited postsecondary institutions and programs; private and public primary and secondary schools; all department-approved watercraft education courses, ATV education courses, and snowmobile education courses; fishing clinics; friends groups; department-sponsored youth fishing days; and distributed virtual fishing tournaments.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 xml:space="preserve">; </w:t>
      </w:r>
      <w:r>
        <w:rPr>
          <w:rFonts w:ascii="Times New Roman" w:hAnsi="Times New Roman"/>
          <w:b/>
          <w:i w:val="false"/>
          <w:color w:val="000000"/>
          <w:sz w:val="16"/>
        </w:rPr>
        <w:t>ARC 5054C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571—44.9</w:t>
      </w:r>
      <w:r>
        <w:rPr>
          <w:rFonts w:ascii="Times New Roman" w:hAnsi="Times New Roman"/>
          <w:b/>
          <w:i w:val="false"/>
          <w:color w:val="000000"/>
          <w:sz w:val="22"/>
        </w:rPr>
        <w:t xml:space="preserve">(321G,461A) </w:t>
      </w:r>
      <w:r>
        <w:rPr>
          <w:rFonts w:ascii="Times New Roman" w:hAnsi="Times New Roman"/>
          <w:b/>
          <w:i w:val="false"/>
          <w:color w:val="000000"/>
          <w:sz w:val="22"/>
        </w:rPr>
        <w:t xml:space="preserve">Structures placed on ice during a special event. </w:t>
      </w:r>
      <w:r>
        <w:rPr>
          <w:rFonts w:ascii="Times New Roman" w:hAnsi="Times New Roman"/>
          <w:b w:val="false"/>
          <w:i w:val="false"/>
          <w:color w:val="000000"/>
          <w:sz w:val="22"/>
        </w:rPr>
        <w:t>The following requirements apply to the placement, construction, or erection of structures on ice during a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44.9(1)</w:t>
      </w:r>
      <w:r>
        <w:rPr>
          <w:rFonts w:ascii="Times New Roman" w:hAnsi="Times New Roman"/>
          <w:b w:val="false"/>
          <w:i w:val="false"/>
          <w:color w:val="000000"/>
          <w:sz w:val="22"/>
        </w:rPr>
        <w:t> </w:t>
      </w:r>
      <w:r>
        <w:rPr>
          <w:rFonts w:ascii="Times New Roman" w:hAnsi="Times New Roman"/>
          <w:b w:val="false"/>
          <w:i/>
          <w:color w:val="000000"/>
          <w:sz w:val="22"/>
        </w:rPr>
        <w:t xml:space="preserve">Vendor information provided on application. </w:t>
      </w:r>
      <w:r>
        <w:rPr>
          <w:rFonts w:ascii="Times New Roman" w:hAnsi="Times New Roman"/>
          <w:b w:val="false"/>
          <w:i w:val="false"/>
          <w:color w:val="000000"/>
          <w:sz w:val="22"/>
        </w:rPr>
        <w:t>The applicant shall identify the names and addresses of any vendors who will be on site during the special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44.9(2)</w:t>
      </w:r>
      <w:r>
        <w:rPr>
          <w:rFonts w:ascii="Times New Roman" w:hAnsi="Times New Roman"/>
          <w:b w:val="false"/>
          <w:i w:val="false"/>
          <w:color w:val="000000"/>
          <w:sz w:val="22"/>
        </w:rPr>
        <w:t> </w:t>
      </w:r>
      <w:r>
        <w:rPr>
          <w:rFonts w:ascii="Times New Roman" w:hAnsi="Times New Roman"/>
          <w:b w:val="false"/>
          <w:i/>
          <w:color w:val="000000"/>
          <w:sz w:val="22"/>
        </w:rPr>
        <w:t xml:space="preserve">Owner information. </w:t>
      </w:r>
      <w:r>
        <w:rPr>
          <w:rFonts w:ascii="Times New Roman" w:hAnsi="Times New Roman"/>
          <w:b w:val="false"/>
          <w:i w:val="false"/>
          <w:color w:val="000000"/>
          <w:sz w:val="22"/>
        </w:rPr>
        <w:t>The full name, street address, and city of the structure’s owner shall be displayed legibly on all sides of the structure, in block letters at least four inches in height, and in a color contrasting to the background.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44.9(3)</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Structures shall not be locked when in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44.9(4)</w:t>
      </w:r>
      <w:r>
        <w:rPr>
          <w:rFonts w:ascii="Times New Roman" w:hAnsi="Times New Roman"/>
          <w:b w:val="false"/>
          <w:i w:val="false"/>
          <w:color w:val="000000"/>
          <w:sz w:val="22"/>
        </w:rPr>
        <w:t> </w:t>
      </w:r>
      <w:r>
        <w:rPr>
          <w:rFonts w:ascii="Times New Roman" w:hAnsi="Times New Roman"/>
          <w:b w:val="false"/>
          <w:i/>
          <w:color w:val="000000"/>
          <w:sz w:val="22"/>
        </w:rPr>
        <w:t xml:space="preserve">Reflectors. </w:t>
      </w:r>
      <w:r>
        <w:rPr>
          <w:rFonts w:ascii="Times New Roman" w:hAnsi="Times New Roman"/>
          <w:b w:val="false"/>
          <w:i w:val="false"/>
          <w:color w:val="000000"/>
          <w:sz w:val="22"/>
        </w:rPr>
        <w:t>Reflectors shall be attached to all sides of the structure in such a manner to enable them to reflect light at all times from sunrise to sunset.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571—44.10</w:t>
      </w:r>
      <w:r>
        <w:rPr>
          <w:rFonts w:ascii="Times New Roman" w:hAnsi="Times New Roman"/>
          <w:b/>
          <w:i w:val="false"/>
          <w:color w:val="000000"/>
          <w:sz w:val="22"/>
        </w:rPr>
        <w:t xml:space="preserve">(462A) </w:t>
      </w:r>
      <w:r>
        <w:rPr>
          <w:rFonts w:ascii="Times New Roman" w:hAnsi="Times New Roman"/>
          <w:b/>
          <w:i w:val="false"/>
          <w:color w:val="000000"/>
          <w:sz w:val="22"/>
        </w:rPr>
        <w:t xml:space="preserve">Boating special events—registration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44.10(1)</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entered in a boating special event shall not be required to be registered pursuant to Iowa Code sections </w:t>
      </w:r>
      <w:hyperlink r:id="rId11">
        <w:r>
          <w:rPr>
            <w:rStyle w:val="Hyperlink"/>
            <w:rFonts w:ascii="Times New Roman" w:hAnsi="Times New Roman"/>
            <w:b w:val="false"/>
            <w:i w:val="false"/>
            <w:color w:val="000000"/>
            <w:sz w:val="22"/>
          </w:rPr>
          <w:t>462A.4</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462A.5</w:t>
        </w:r>
      </w:hyperlink>
      <w:r>
        <w:rPr>
          <w:rFonts w:ascii="Times New Roman" w:hAnsi="Times New Roman"/>
          <w:b w:val="false"/>
          <w:i w:val="false"/>
          <w:color w:val="000000"/>
          <w:sz w:val="22"/>
        </w:rPr>
        <w:t xml:space="preserve"> but shall be labeled with an identifying number or letter that is at least four inches high and is in a color contrasting to the vessel. The identifying number or letter shall be located in a prominent spot on the exterior of the vessel, other than on the bow.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44.10(2)</w:t>
      </w:r>
      <w:r>
        <w:rPr>
          <w:rFonts w:ascii="Times New Roman" w:hAnsi="Times New Roman"/>
          <w:b w:val="false"/>
          <w:i w:val="false"/>
          <w:color w:val="000000"/>
          <w:sz w:val="22"/>
        </w:rPr>
        <w:t> </w:t>
      </w:r>
      <w:r>
        <w:rPr>
          <w:rFonts w:ascii="Times New Roman" w:hAnsi="Times New Roman"/>
          <w:b w:val="false"/>
          <w:i w:val="false"/>
          <w:color w:val="000000"/>
          <w:sz w:val="22"/>
        </w:rPr>
        <w:t>The sponsor of the boating special event shall maintain a list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persons participating in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each vessel in the event. The description of each vessel shall include the identifying number or letter of the vessel as required by </w:t>
      </w:r>
      <w:hyperlink r:id="rId13">
        <w:r>
          <w:rPr>
            <w:rStyle w:val="Hyperlink"/>
            <w:rFonts w:ascii="Times New Roman" w:hAnsi="Times New Roman"/>
            <w:b w:val="false"/>
            <w:i w:val="false"/>
            <w:color w:val="000000"/>
            <w:sz w:val="22"/>
          </w:rPr>
          <w:t>44.10(1)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571—44.11</w:t>
      </w:r>
      <w:r>
        <w:rPr>
          <w:rFonts w:ascii="Times New Roman" w:hAnsi="Times New Roman"/>
          <w:b/>
          <w:i w:val="false"/>
          <w:color w:val="000000"/>
          <w:sz w:val="22"/>
        </w:rPr>
        <w:t xml:space="preserve">(462A) </w:t>
      </w:r>
      <w:r>
        <w:rPr>
          <w:rFonts w:ascii="Times New Roman" w:hAnsi="Times New Roman"/>
          <w:b/>
          <w:i w:val="false"/>
          <w:color w:val="000000"/>
          <w:sz w:val="22"/>
        </w:rPr>
        <w:t xml:space="preserve">Mississippi River or Missouri River. </w:t>
      </w:r>
      <w:r>
        <w:rPr>
          <w:rFonts w:ascii="Times New Roman" w:hAnsi="Times New Roman"/>
          <w:b w:val="false"/>
          <w:i w:val="false"/>
          <w:color w:val="000000"/>
          <w:sz w:val="22"/>
        </w:rPr>
        <w:t>Upon notification and proof that a United States Coast Guard (U.S.C.G.) permit has been secured, the department shall not require a special event application for fireworks displays or boating special events on the Mississippi River or the Missouri River. The regional U.S.C.G. office issuing permits for Mississippi River and Missouri River events is located in St.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Louis, Missouri. This rule does not apply to fishing tournaments.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571—44.12</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Other requirements and permits. </w:t>
      </w:r>
      <w:r>
        <w:rPr>
          <w:rFonts w:ascii="Times New Roman" w:hAnsi="Times New Roman"/>
          <w:b w:val="false"/>
          <w:i w:val="false"/>
          <w:color w:val="000000"/>
          <w:sz w:val="22"/>
        </w:rPr>
        <w:t xml:space="preserve">The applicant for a permit is responsible for ensuring full compliance with the requirements of Iowa Code chapters </w:t>
      </w:r>
      <w:hyperlink r:id="rId14">
        <w:r>
          <w:rPr>
            <w:rStyle w:val="Hyperlink"/>
            <w:rFonts w:ascii="Times New Roman" w:hAnsi="Times New Roman"/>
            <w:b w:val="false"/>
            <w:i w:val="false"/>
            <w:color w:val="000000"/>
            <w:sz w:val="22"/>
          </w:rPr>
          <w:t>321G</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321I</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481A</w:t>
        </w:r>
      </w:hyperlink>
      <w:r>
        <w:rPr>
          <w:rFonts w:ascii="Times New Roman" w:hAnsi="Times New Roman"/>
          <w:b w:val="false"/>
          <w:i w:val="false"/>
          <w:color w:val="000000"/>
          <w:sz w:val="22"/>
        </w:rPr>
        <w:t>, and any other Iowa Code chapters and rules promulgated under those chapters that may be applicable to special events. The applicant shall also acquire and comply with all applicable state and local permits issued by other state and local agencies necessary to hold the special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571—44.13</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Authority to cancel or stop a special event. </w:t>
      </w:r>
      <w:r>
        <w:rPr>
          <w:rFonts w:ascii="Times New Roman" w:hAnsi="Times New Roman"/>
          <w:b w:val="false"/>
          <w:i w:val="false"/>
          <w:color w:val="000000"/>
          <w:sz w:val="22"/>
        </w:rPr>
        <w:t>If a peace officer or any department employee determines that a permit is being violated or that safety concerns warrant canceling or stopping the special event, the peace officer or department employee has the authority to cancel or stop the special event.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571—44.14</w:t>
      </w:r>
      <w:r>
        <w:rPr>
          <w:rFonts w:ascii="Times New Roman" w:hAnsi="Times New Roman"/>
          <w:b/>
          <w:i w:val="false"/>
          <w:color w:val="000000"/>
          <w:sz w:val="22"/>
        </w:rPr>
        <w:t xml:space="preserve">(321G,321I,461A,462A,481A) </w:t>
      </w:r>
      <w:r>
        <w:rPr>
          <w:rFonts w:ascii="Times New Roman" w:hAnsi="Times New Roman"/>
          <w:b/>
          <w:i w:val="false"/>
          <w:color w:val="000000"/>
          <w:sz w:val="22"/>
        </w:rPr>
        <w:t xml:space="preserve">Nonexclusive use of area. </w:t>
      </w:r>
      <w:r>
        <w:rPr>
          <w:rFonts w:ascii="Times New Roman" w:hAnsi="Times New Roman"/>
          <w:b w:val="false"/>
          <w:i w:val="false"/>
          <w:color w:val="000000"/>
          <w:sz w:val="22"/>
        </w:rPr>
        <w:t>Issuance of a permit does not grant the applicant exclusive use of the public land, water, or ice that is the subject of the permit unless the permit explicitly provides otherwise.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FIREWORKS DISPLAYS</w:t>
      </w:r>
    </w:p>
    <w:p>
      <w:pPr>
        <w:spacing w:before="0" w:after="0"/>
        <w:ind w:left="120"/>
        <w:jc w:val="both"/>
      </w:pPr>
      <w:r>
        <w:rPr>
          <w:rFonts w:ascii="Times New Roman" w:hAnsi="Times New Roman"/>
          <w:b/>
          <w:i w:val="false"/>
          <w:color w:val="000000"/>
          <w:sz w:val="22"/>
        </w:rPr>
        <w:t>571—44.15</w:t>
      </w:r>
      <w:r>
        <w:rPr>
          <w:rFonts w:ascii="Times New Roman" w:hAnsi="Times New Roman"/>
          <w:b/>
          <w:i w:val="false"/>
          <w:color w:val="000000"/>
          <w:sz w:val="22"/>
        </w:rPr>
        <w:t xml:space="preserve">(461A) </w:t>
      </w:r>
      <w:r>
        <w:rPr>
          <w:rFonts w:ascii="Times New Roman" w:hAnsi="Times New Roman"/>
          <w:b/>
          <w:i w:val="false"/>
          <w:color w:val="000000"/>
          <w:sz w:val="22"/>
        </w:rPr>
        <w:t xml:space="preserve">Entities eligible for permits. </w:t>
      </w:r>
      <w:r>
        <w:rPr>
          <w:rFonts w:ascii="Times New Roman" w:hAnsi="Times New Roman"/>
          <w:b w:val="false"/>
          <w:i w:val="false"/>
          <w:color w:val="000000"/>
          <w:sz w:val="22"/>
        </w:rPr>
        <w:t>Permits for fireworks displays shall be issued only to qualified entities, such as political subdivisions of the state of Iowa, and to community or civic organizations, such as chambers of commerce, junior chambers of commerce (Jaycees), rotary clubs, and Elks Lodges and similar fraternal benefit associations or societies. Permits shall not be issued to individuals. Permits are not transferable to another entity and do not relieve the sponsoring entity from obtaining any other permits required by the state or its political subdivisions.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571—44.16</w:t>
      </w:r>
      <w:r>
        <w:rPr>
          <w:rFonts w:ascii="Times New Roman" w:hAnsi="Times New Roman"/>
          <w:b/>
          <w:i w:val="false"/>
          <w:color w:val="000000"/>
          <w:sz w:val="22"/>
        </w:rPr>
        <w:t xml:space="preserve">(461A) </w:t>
      </w:r>
      <w:r>
        <w:rPr>
          <w:rFonts w:ascii="Times New Roman" w:hAnsi="Times New Roman"/>
          <w:b/>
          <w:i w:val="false"/>
          <w:color w:val="000000"/>
          <w:sz w:val="22"/>
        </w:rPr>
        <w:t xml:space="preserve">Permit conditions. </w:t>
      </w:r>
      <w:r>
        <w:rPr>
          <w:rFonts w:ascii="Times New Roman" w:hAnsi="Times New Roman"/>
          <w:b w:val="false"/>
          <w:i w:val="false"/>
          <w:color w:val="000000"/>
          <w:sz w:val="22"/>
        </w:rPr>
        <w:t>The department may impose permit conditions not specifically required in these rules for any fireworks display special event as deemed necessary to protect the resource or ensure public safety. Conditions shall be included in the permit that the applicant or sponsoring organization receives if the event is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8815B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9114B</w:t>
      </w:r>
      <w:r>
        <w:rPr>
          <w:rFonts w:ascii="Times New Roman" w:hAnsi="Times New Roman"/>
          <w:b w:val="false"/>
          <w:i w:val="false"/>
          <w:color w:val="000000"/>
          <w:sz w:val="16"/>
        </w:rPr>
        <w:t>, IAB 10/6/10, effective 9/10/10</w:t>
      </w:r>
      <w:r>
        <w:rPr>
          <w:rFonts w:ascii="Times New Roman" w:hAnsi="Times New Roman"/>
          <w:b w:val="false"/>
          <w:i w:val="false"/>
          <w:color w:val="000000"/>
          <w:sz w:val="16"/>
        </w:rPr>
        <w:t xml:space="preserve">; </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571—44.17</w:t>
      </w:r>
      <w:r>
        <w:rPr>
          <w:rFonts w:ascii="Times New Roman" w:hAnsi="Times New Roman"/>
          <w:b/>
          <w:i w:val="false"/>
          <w:color w:val="000000"/>
          <w:sz w:val="22"/>
        </w:rPr>
        <w:t xml:space="preserve">(461A) </w:t>
      </w:r>
      <w:r>
        <w:rPr>
          <w:rFonts w:ascii="Times New Roman" w:hAnsi="Times New Roman"/>
          <w:b/>
          <w:i w:val="false"/>
          <w:color w:val="000000"/>
          <w:sz w:val="22"/>
        </w:rPr>
        <w:t xml:space="preserve">Application procedures. </w:t>
      </w:r>
      <w:r>
        <w:rPr>
          <w:rFonts w:ascii="Times New Roman" w:hAnsi="Times New Roman"/>
          <w:b w:val="false"/>
          <w:i w:val="false"/>
          <w:color w:val="000000"/>
          <w:sz w:val="22"/>
        </w:rPr>
        <w:t>The following procedures shall be used to apply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shall be made and submitted through the department’s centralized special events application system.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44.17(2)</w:t>
      </w:r>
      <w:r>
        <w:rPr>
          <w:rFonts w:ascii="Times New Roman" w:hAnsi="Times New Roman"/>
          <w:b w:val="false"/>
          <w:i w:val="false"/>
          <w:color w:val="000000"/>
          <w:sz w:val="22"/>
        </w:rPr>
        <w:t> </w:t>
      </w:r>
      <w:r>
        <w:rPr>
          <w:rFonts w:ascii="Times New Roman" w:hAnsi="Times New Roman"/>
          <w:b w:val="false"/>
          <w:i w:val="false"/>
          <w:color w:val="000000"/>
          <w:sz w:val="22"/>
        </w:rPr>
        <w:t>Applications—when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Events for current year. </w:t>
      </w:r>
      <w:r>
        <w:rPr>
          <w:rFonts w:ascii="Times New Roman" w:hAnsi="Times New Roman"/>
          <w:b w:val="false"/>
          <w:i w:val="false"/>
          <w:color w:val="000000"/>
          <w:sz w:val="22"/>
        </w:rPr>
        <w:t>Applications may be submitted anytime during the calendar year in which the fireworks display is to begin but no later than 30 days prior to the display.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Events for the next year. </w:t>
      </w:r>
      <w:r>
        <w:rPr>
          <w:rFonts w:ascii="Times New Roman" w:hAnsi="Times New Roman"/>
          <w:b w:val="false"/>
          <w:i w:val="false"/>
          <w:color w:val="000000"/>
          <w:sz w:val="22"/>
        </w:rPr>
        <w:t>Applications for a fireworks display that will start in the next calendar year shall not be submitted until September 1 of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44.17(3)</w:t>
      </w:r>
      <w:r>
        <w:rPr>
          <w:rFonts w:ascii="Times New Roman" w:hAnsi="Times New Roman"/>
          <w:b w:val="false"/>
          <w:i w:val="false"/>
          <w:color w:val="000000"/>
          <w:sz w:val="22"/>
        </w:rPr>
        <w:t> </w:t>
      </w:r>
      <w:r>
        <w:rPr>
          <w:rFonts w:ascii="Times New Roman" w:hAnsi="Times New Roman"/>
          <w:b w:val="false"/>
          <w:i w:val="false"/>
          <w:color w:val="000000"/>
          <w:sz w:val="22"/>
        </w:rPr>
        <w:t>The number of fireworks displays or other special events at any one public land, water or ice location during a given day may be restricted if deemed necessary to avoid congestion with the public or competing events and to protect the resource.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44.17(4)</w:t>
      </w:r>
      <w:r>
        <w:rPr>
          <w:rFonts w:ascii="Times New Roman" w:hAnsi="Times New Roman"/>
          <w:b w:val="false"/>
          <w:i w:val="false"/>
          <w:color w:val="000000"/>
          <w:sz w:val="22"/>
        </w:rPr>
        <w:t> </w:t>
      </w:r>
      <w:r>
        <w:rPr>
          <w:rFonts w:ascii="Times New Roman" w:hAnsi="Times New Roman"/>
          <w:b w:val="false"/>
          <w:i w:val="false"/>
          <w:color w:val="000000"/>
          <w:sz w:val="22"/>
        </w:rPr>
        <w:t>The applicant shall certify in the application that the fireworks display shall be conducted by a competent operator. The location of the display shall be determined by the department representative in charge of the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44.17(5)</w:t>
      </w:r>
      <w:r>
        <w:rPr>
          <w:rFonts w:ascii="Times New Roman" w:hAnsi="Times New Roman"/>
          <w:b w:val="false"/>
          <w:i w:val="false"/>
          <w:color w:val="000000"/>
          <w:sz w:val="22"/>
        </w:rPr>
        <w:t> </w:t>
      </w:r>
      <w:r>
        <w:rPr>
          <w:rFonts w:ascii="Times New Roman" w:hAnsi="Times New Roman"/>
          <w:b w:val="false"/>
          <w:i w:val="false"/>
          <w:color w:val="000000"/>
          <w:sz w:val="22"/>
        </w:rPr>
        <w:t>Submission of an application does not guarantee issuance of a permit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571—44.18</w:t>
      </w:r>
      <w:r>
        <w:rPr>
          <w:rFonts w:ascii="Times New Roman" w:hAnsi="Times New Roman"/>
          <w:b/>
          <w:i w:val="false"/>
          <w:color w:val="000000"/>
          <w:sz w:val="22"/>
        </w:rPr>
        <w:t xml:space="preserve">(461A) </w:t>
      </w:r>
      <w:r>
        <w:rPr>
          <w:rFonts w:ascii="Times New Roman" w:hAnsi="Times New Roman"/>
          <w:b/>
          <w:i w:val="false"/>
          <w:color w:val="000000"/>
          <w:sz w:val="22"/>
        </w:rPr>
        <w:t xml:space="preserve">Fireworks display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44.18(1)</w:t>
      </w:r>
      <w:r>
        <w:rPr>
          <w:rFonts w:ascii="Times New Roman" w:hAnsi="Times New Roman"/>
          <w:b w:val="false"/>
          <w:i w:val="false"/>
          <w:color w:val="000000"/>
          <w:sz w:val="22"/>
        </w:rPr>
        <w:t> </w:t>
      </w:r>
      <w:r>
        <w:rPr>
          <w:rFonts w:ascii="Times New Roman" w:hAnsi="Times New Roman"/>
          <w:b w:val="false"/>
          <w:i w:val="false"/>
          <w:color w:val="000000"/>
          <w:sz w:val="22"/>
        </w:rPr>
        <w:t>The sponsoring entity shall take adequate safety precautions to ensure that persons not actively involved in conducting the display remain a safe distance from the firing area and any areas containing set pieces.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44.18(2)</w:t>
      </w:r>
      <w:r>
        <w:rPr>
          <w:rFonts w:ascii="Times New Roman" w:hAnsi="Times New Roman"/>
          <w:b w:val="false"/>
          <w:i w:val="false"/>
          <w:color w:val="000000"/>
          <w:sz w:val="22"/>
        </w:rPr>
        <w:t> </w:t>
      </w:r>
      <w:r>
        <w:rPr>
          <w:rFonts w:ascii="Times New Roman" w:hAnsi="Times New Roman"/>
          <w:b w:val="false"/>
          <w:i w:val="false"/>
          <w:color w:val="000000"/>
          <w:sz w:val="22"/>
        </w:rPr>
        <w:t>The department representative in charge of the area in which the display is conducted or any state peace officer may halt any display when the character, location, weather, or firing of the display makes it hazardous to property or dangerous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44.18(3)</w:t>
      </w:r>
      <w:r>
        <w:rPr>
          <w:rFonts w:ascii="Times New Roman" w:hAnsi="Times New Roman"/>
          <w:b w:val="false"/>
          <w:i w:val="false"/>
          <w:color w:val="000000"/>
          <w:sz w:val="22"/>
        </w:rPr>
        <w:t> </w:t>
      </w:r>
      <w:r>
        <w:rPr>
          <w:rFonts w:ascii="Times New Roman" w:hAnsi="Times New Roman"/>
          <w:b w:val="false"/>
          <w:i w:val="false"/>
          <w:color w:val="000000"/>
          <w:sz w:val="22"/>
        </w:rPr>
        <w:t>Any fireworks that remain unfired after the display is concluded shall be immediately disposed of by the operator or the sponsoring entity in a manner that is safe for the particular type of fireworks.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44.18(4)</w:t>
      </w:r>
      <w:r>
        <w:rPr>
          <w:rFonts w:ascii="Times New Roman" w:hAnsi="Times New Roman"/>
          <w:b w:val="false"/>
          <w:i w:val="false"/>
          <w:color w:val="000000"/>
          <w:sz w:val="22"/>
        </w:rPr>
        <w:t> </w:t>
      </w:r>
      <w:r>
        <w:rPr>
          <w:rFonts w:ascii="Times New Roman" w:hAnsi="Times New Roman"/>
          <w:b w:val="false"/>
          <w:i w:val="false"/>
          <w:color w:val="000000"/>
          <w:sz w:val="22"/>
        </w:rPr>
        <w:t>The sponsoring entity shall make arrangements for firefighting equipment and emergency medical services to be on the scene at all times during the firing of the display.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44.18(5)</w:t>
      </w:r>
      <w:r>
        <w:rPr>
          <w:rFonts w:ascii="Times New Roman" w:hAnsi="Times New Roman"/>
          <w:b w:val="false"/>
          <w:i w:val="false"/>
          <w:color w:val="000000"/>
          <w:sz w:val="22"/>
        </w:rPr>
        <w:t> </w:t>
      </w:r>
      <w:r>
        <w:rPr>
          <w:rFonts w:ascii="Times New Roman" w:hAnsi="Times New Roman"/>
          <w:b w:val="false"/>
          <w:i w:val="false"/>
          <w:color w:val="000000"/>
          <w:sz w:val="22"/>
        </w:rPr>
        <w:t>The sponsoring entity is totally responsible for cleanup of the fireworks display site at the conclusion of the display.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571—44.19</w:t>
      </w:r>
      <w:r>
        <w:rPr>
          <w:rFonts w:ascii="Times New Roman" w:hAnsi="Times New Roman"/>
          <w:b/>
          <w:i w:val="false"/>
          <w:color w:val="000000"/>
          <w:sz w:val="22"/>
        </w:rPr>
        <w:t xml:space="preserve">(461A) </w:t>
      </w:r>
      <w:r>
        <w:rPr>
          <w:rFonts w:ascii="Times New Roman" w:hAnsi="Times New Roman"/>
          <w:b/>
          <w:i w:val="false"/>
          <w:color w:val="000000"/>
          <w:sz w:val="22"/>
        </w:rPr>
        <w:t xml:space="preserve">Fees. </w:t>
      </w:r>
      <w:r>
        <w:rPr>
          <w:rFonts w:ascii="Times New Roman" w:hAnsi="Times New Roman"/>
          <w:b w:val="false"/>
          <w:i w:val="false"/>
          <w:color w:val="000000"/>
          <w:sz w:val="22"/>
        </w:rPr>
        <w:t>A nonrefundable administrative fee of $25 shall be charged for processing each fireworks display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571—44.20</w:t>
      </w:r>
      <w:r>
        <w:rPr>
          <w:rFonts w:ascii="Times New Roman" w:hAnsi="Times New Roman"/>
          <w:b/>
          <w:i w:val="false"/>
          <w:color w:val="000000"/>
          <w:sz w:val="22"/>
        </w:rPr>
        <w:t xml:space="preserve">(461A) </w:t>
      </w:r>
      <w:r>
        <w:rPr>
          <w:rFonts w:ascii="Times New Roman" w:hAnsi="Times New Roman"/>
          <w:b/>
          <w:i w:val="false"/>
          <w:color w:val="000000"/>
          <w:sz w:val="22"/>
        </w:rPr>
        <w:t xml:space="preserve">Insurance. </w:t>
      </w:r>
      <w:r>
        <w:rPr>
          <w:rFonts w:ascii="Times New Roman" w:hAnsi="Times New Roman"/>
          <w:b w:val="false"/>
          <w:i w:val="false"/>
          <w:color w:val="000000"/>
          <w:sz w:val="22"/>
        </w:rPr>
        <w:t>The sponsoring entity for a fireworks display shall provide proof of liability insurance naming the applicant and the department as an additional insured in the sum of not less than $1 million. The department may, at its discretion, require a greater amount. Insurance information shall be available at the time the application is submitted.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571—44.21</w:t>
      </w:r>
      <w:r>
        <w:rPr>
          <w:rFonts w:ascii="Times New Roman" w:hAnsi="Times New Roman"/>
          <w:b/>
          <w:i w:val="false"/>
          <w:color w:val="000000"/>
          <w:sz w:val="22"/>
        </w:rPr>
        <w:t xml:space="preserve">(461A) </w:t>
      </w:r>
      <w:r>
        <w:rPr>
          <w:rFonts w:ascii="Times New Roman" w:hAnsi="Times New Roman"/>
          <w:b/>
          <w:i w:val="false"/>
          <w:color w:val="000000"/>
          <w:sz w:val="22"/>
        </w:rPr>
        <w:t xml:space="preserve">Concessions. </w:t>
      </w:r>
      <w:r>
        <w:rPr>
          <w:rFonts w:ascii="Times New Roman" w:hAnsi="Times New Roman"/>
          <w:b w:val="false"/>
          <w:i w:val="false"/>
          <w:color w:val="000000"/>
          <w:sz w:val="22"/>
        </w:rPr>
        <w:t xml:space="preserve">If the state park or recreation area has a concessionaire on site, sales of food and other items during the display shall be governed pursuant to </w:t>
      </w:r>
      <w:hyperlink r:id="rId19">
        <w:r>
          <w:rPr>
            <w:rStyle w:val="Hyperlink"/>
            <w:rFonts w:ascii="Times New Roman" w:hAnsi="Times New Roman"/>
            <w:b w:val="false"/>
            <w:i w:val="false"/>
            <w:color w:val="000000"/>
            <w:sz w:val="22"/>
          </w:rPr>
          <w:t>571—Chapter 14</w:t>
        </w:r>
      </w:hyperlink>
      <w:r>
        <w:rPr>
          <w:rFonts w:ascii="Times New Roman" w:hAnsi="Times New Roman"/>
          <w:b w:val="false"/>
          <w:i w:val="false"/>
          <w:color w:val="000000"/>
          <w:sz w:val="22"/>
        </w:rPr>
        <w:t>. If a concessionaire chooses not to provide services during the event, the sponsoring entity may then bring in other concession operations as approved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9539B</w:t>
      </w:r>
      <w:r>
        <w:rPr>
          <w:rFonts w:ascii="Times New Roman" w:hAnsi="Times New Roman"/>
          <w:b w:val="false"/>
          <w:i w:val="false"/>
          <w:color w:val="000000"/>
          <w:sz w:val="16"/>
        </w:rPr>
        <w:t>, IAB 6/1/11, effective 7/6/11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321G.16</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321I.17</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461A.3</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461A.42</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461A.47</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461A.57</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462A.16</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481A.22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11/2/84, Notice 9/26/84—published 11/21/84, effective 1/1/85]</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ARC 8815B</w:t>
      </w:r>
      <w:r>
        <w:rPr>
          <w:rFonts w:ascii="Times New Roman" w:hAnsi="Times New Roman"/>
          <w:b w:val="false"/>
          <w:i w:val="false"/>
          <w:color w:val="000000"/>
          <w:sz w:val="21"/>
        </w:rPr>
        <w:t xml:space="preserve"> (Notice ARC 8462B, IAB 1/13/10)</w:t>
      </w:r>
      <w:r>
        <w:rPr>
          <w:rFonts w:ascii="Times New Roman" w:hAnsi="Times New Roman"/>
          <w:b w:val="false"/>
          <w:i w:val="false"/>
          <w:color w:val="000000"/>
          <w:sz w:val="21"/>
        </w:rPr>
        <w:t>, IAB 6/2/10, effective 7/7/10]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6/30/10]</w:t>
      </w:r>
    </w:p>
    <w:p>
      <w:pPr>
        <w:spacing w:before="0" w:after="0"/>
        <w:ind w:left="120"/>
        <w:jc w:val="center"/>
      </w:pPr>
      <w:r>
        <w:rPr>
          <w:rFonts w:ascii="Times New Roman" w:hAnsi="Times New Roman"/>
          <w:b w:val="false"/>
          <w:i w:val="false"/>
          <w:color w:val="000000"/>
          <w:sz w:val="21"/>
        </w:rPr>
        <w:t>[Filed Emergency ARC 9114B, IAB 10/6/10, effective 9/10/10]</w:t>
      </w:r>
    </w:p>
    <w:p>
      <w:pPr>
        <w:spacing w:before="0" w:after="0"/>
        <w:ind w:left="120"/>
        <w:jc w:val="center"/>
      </w:pPr>
      <w:r>
        <w:rPr>
          <w:rFonts w:ascii="Times New Roman" w:hAnsi="Times New Roman"/>
          <w:b w:val="false"/>
          <w:i w:val="false"/>
          <w:color w:val="000000"/>
          <w:sz w:val="21"/>
        </w:rPr>
        <w:t>[Filed ARC 9539B</w:t>
      </w:r>
      <w:r>
        <w:rPr>
          <w:rFonts w:ascii="Times New Roman" w:hAnsi="Times New Roman"/>
          <w:b w:val="false"/>
          <w:i w:val="false"/>
          <w:color w:val="000000"/>
          <w:sz w:val="21"/>
        </w:rPr>
        <w:t xml:space="preserve"> (Notice ARC 9419B, IAB 3/9/11)</w:t>
      </w:r>
      <w:r>
        <w:rPr>
          <w:rFonts w:ascii="Times New Roman" w:hAnsi="Times New Roman"/>
          <w:b w:val="false"/>
          <w:i w:val="false"/>
          <w:color w:val="000000"/>
          <w:sz w:val="21"/>
        </w:rPr>
        <w:t>, IAB 6/1/11, effective 7/6/11]</w:t>
      </w:r>
    </w:p>
    <w:p>
      <w:pPr>
        <w:spacing w:before="0" w:after="0"/>
        <w:ind w:left="120"/>
        <w:jc w:val="center"/>
      </w:pPr>
      <w:r>
        <w:rPr>
          <w:rFonts w:ascii="Times New Roman" w:hAnsi="Times New Roman"/>
          <w:b w:val="false"/>
          <w:i w:val="false"/>
          <w:color w:val="000000"/>
          <w:sz w:val="21"/>
        </w:rPr>
        <w:t>[Filed ARC 3443C</w:t>
      </w:r>
      <w:r>
        <w:rPr>
          <w:rFonts w:ascii="Times New Roman" w:hAnsi="Times New Roman"/>
          <w:b w:val="false"/>
          <w:i w:val="false"/>
          <w:color w:val="000000"/>
          <w:sz w:val="21"/>
        </w:rPr>
        <w:t xml:space="preserve"> (Notice ARC 3279C, IAB 8/30/17)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5054C</w:t>
      </w:r>
      <w:r>
        <w:rPr>
          <w:rFonts w:ascii="Times New Roman" w:hAnsi="Times New Roman"/>
          <w:b w:val="false"/>
          <w:i w:val="false"/>
          <w:color w:val="000000"/>
          <w:sz w:val="21"/>
        </w:rPr>
        <w:t xml:space="preserve"> (Notice ARC 4924C, IAB 2/12/20)</w:t>
      </w:r>
      <w:r>
        <w:rPr>
          <w:rFonts w:ascii="Times New Roman" w:hAnsi="Times New Roman"/>
          <w:b w:val="false"/>
          <w:i w:val="false"/>
          <w:color w:val="000000"/>
          <w:sz w:val="21"/>
        </w:rPr>
        <w:t>, IAB 6/17/20, effective 7/22/20]</w:t>
      </w:r>
    </w:p>
    <w:p>
      <w:pPr>
        <w:pBdr>
          <w:bottom w:space="2"/>
        </w:pBdr>
        <w:spacing w:before="0" w:after="0"/>
        <w:ind w:left="120"/>
        <w:jc w:val="both"/>
      </w:pPr>
      <w:r>
        <w:rPr>
          <w:rFonts w:ascii="Times New Roman" w:hAnsi="Times New Roman"/>
          <w:b w:val="false"/>
          <w:i w:val="false"/>
          <w:color w:val="000000"/>
          <w:sz w:val="22"/>
        </w:rPr>
        <w:t>July 7, 2010, effective date of ARC 8815B delayed for 70 days by the Administrative Rules Review Committee at its meeting held June 8, 2010.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4.pdf" Type="http://schemas.openxmlformats.org/officeDocument/2006/relationships/hyperlink" Id="rId5"/>
    <Relationship TargetMode="External" Target="https://www.legis.iowa.gov/docs/ico/chapter/321.pdf" Type="http://schemas.openxmlformats.org/officeDocument/2006/relationships/hyperlink" Id="rId6"/>
    <Relationship TargetMode="External" Target="https://www.legis.iowa.gov/docs/ico/chapter/321.pdf" Type="http://schemas.openxmlformats.org/officeDocument/2006/relationships/hyperlink" Id="rId7"/>
    <Relationship TargetMode="External" Target="https://www.legis.iowa.gov/docs/ico/chapter/321I.1.pdf" Type="http://schemas.openxmlformats.org/officeDocument/2006/relationships/hyperlink" Id="rId8"/>
    <Relationship TargetMode="External" Target="https://www.legis.iowa.gov/docs/iac/chapter/571.14.pdf" Type="http://schemas.openxmlformats.org/officeDocument/2006/relationships/hyperlink" Id="rId9"/>
    <Relationship TargetMode="External" Target="https://www.legis.iowa.gov/docs/iac/rule/571.44.4.pdf" Type="http://schemas.openxmlformats.org/officeDocument/2006/relationships/hyperlink" Id="rId10"/>
    <Relationship TargetMode="External" Target="https://www.legis.iowa.gov/docs/ico/chapter/462A.4.pdf" Type="http://schemas.openxmlformats.org/officeDocument/2006/relationships/hyperlink" Id="rId11"/>
    <Relationship TargetMode="External" Target="https://www.legis.iowa.gov/docs/ico/chapter/462A.5.pdf" Type="http://schemas.openxmlformats.org/officeDocument/2006/relationships/hyperlink" Id="rId12"/>
    <Relationship TargetMode="External" Target="https://www.legis.iowa.gov/docs/iac/rule/571.44.10.pdf" Type="http://schemas.openxmlformats.org/officeDocument/2006/relationships/hyperlink" Id="rId13"/>
    <Relationship TargetMode="External" Target="https://www.legis.iowa.gov/docs/ico/chapter/321G.pdf" Type="http://schemas.openxmlformats.org/officeDocument/2006/relationships/hyperlink" Id="rId14"/>
    <Relationship TargetMode="External" Target="https://www.legis.iowa.gov/docs/ico/chapter/321I.pdf" Type="http://schemas.openxmlformats.org/officeDocument/2006/relationships/hyperlink" Id="rId15"/>
    <Relationship TargetMode="External" Target="https://www.legis.iowa.gov/docs/ico/chapter/461A.pdf" Type="http://schemas.openxmlformats.org/officeDocument/2006/relationships/hyperlink" Id="rId16"/>
    <Relationship TargetMode="External" Target="https://www.legis.iowa.gov/docs/ico/chapter/462A.pdf" Type="http://schemas.openxmlformats.org/officeDocument/2006/relationships/hyperlink" Id="rId17"/>
    <Relationship TargetMode="External" Target="https://www.legis.iowa.gov/docs/ico/chapter/481A.pdf" Type="http://schemas.openxmlformats.org/officeDocument/2006/relationships/hyperlink" Id="rId18"/>
    <Relationship TargetMode="External" Target="https://www.legis.iowa.gov/docs/iac/chapter/571.14.pdf" Type="http://schemas.openxmlformats.org/officeDocument/2006/relationships/hyperlink" Id="rId19"/>
    <Relationship TargetMode="External" Target="https://www.legis.iowa.gov/docs/ico/chapter/321G.16.pdf" Type="http://schemas.openxmlformats.org/officeDocument/2006/relationships/hyperlink" Id="rId20"/>
    <Relationship TargetMode="External" Target="https://www.legis.iowa.gov/docs/ico/chapter/321I.17.pdf" Type="http://schemas.openxmlformats.org/officeDocument/2006/relationships/hyperlink" Id="rId21"/>
    <Relationship TargetMode="External" Target="https://www.legis.iowa.gov/docs/ico/chapter/461A.3.pdf" Type="http://schemas.openxmlformats.org/officeDocument/2006/relationships/hyperlink" Id="rId22"/>
    <Relationship TargetMode="External" Target="https://www.legis.iowa.gov/docs/ico/chapter/461A.4.pdf" Type="http://schemas.openxmlformats.org/officeDocument/2006/relationships/hyperlink" Id="rId23"/>
    <Relationship TargetMode="External" Target="https://www.legis.iowa.gov/docs/ico/chapter/461A.42.pdf" Type="http://schemas.openxmlformats.org/officeDocument/2006/relationships/hyperlink" Id="rId24"/>
    <Relationship TargetMode="External" Target="https://www.legis.iowa.gov/docs/ico/chapter/461A.47.pdf" Type="http://schemas.openxmlformats.org/officeDocument/2006/relationships/hyperlink" Id="rId25"/>
    <Relationship TargetMode="External" Target="https://www.legis.iowa.gov/docs/ico/chapter/461A.57.pdf" Type="http://schemas.openxmlformats.org/officeDocument/2006/relationships/hyperlink" Id="rId26"/>
    <Relationship TargetMode="External" Target="https://www.legis.iowa.gov/docs/ico/chapter/462A.16.pdf" Type="http://schemas.openxmlformats.org/officeDocument/2006/relationships/hyperlink" Id="rId27"/>
    <Relationship TargetMode="External" Target="https://www.legis.iowa.gov/docs/ico/chapter/481A.22.pdf" Type="http://schemas.openxmlformats.org/officeDocument/2006/relationships/hyperlink" Id="rId28"/>
    <Relationship TargetMode="External" Target="https://www.legis.iowa.gov/docs/ico/chapter/481A.38.pdf" Type="http://schemas.openxmlformats.org/officeDocument/2006/relationships/hyperlink" Id="rId2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