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5/13/88, Notice 3/23/88—published 6/1/88, effective 7/6/88]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