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BOATING PASSENGER CAPACITY</w:t>
      </w:r>
    </w:p>
    <w:p>
      <w:pPr>
        <w:spacing w:before="0" w:after="0"/>
        <w:ind w:left="120"/>
        <w:jc w:val="center"/>
      </w:pPr>
      <w:r>
        <w:rPr>
          <w:rFonts w:ascii="Times New Roman" w:hAnsi="Times New Roman"/>
          <w:b w:val="false"/>
          <w:i w:val="false"/>
          <w:color w:val="000000"/>
          <w:sz w:val="14"/>
        </w:rPr>
        <w:t>[Prior to 12/31/86, Conservation Commission[290] Ch 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571—39.1</w:t>
      </w:r>
      <w:r>
        <w:rPr>
          <w:rFonts w:ascii="Times New Roman" w:hAnsi="Times New Roman"/>
          <w:b/>
          <w:i w:val="false"/>
          <w:color w:val="000000"/>
          <w:sz w:val="22"/>
        </w:rPr>
        <w:t xml:space="preserve">(462A) </w:t>
      </w:r>
      <w:r>
        <w:rPr>
          <w:rFonts w:ascii="Times New Roman" w:hAnsi="Times New Roman"/>
          <w:b/>
          <w:i w:val="false"/>
          <w:color w:val="000000"/>
          <w:sz w:val="22"/>
        </w:rPr>
        <w:t xml:space="preserve">U.S. Coast Guard capacity rating. </w:t>
      </w:r>
      <w:r>
        <w:rPr>
          <w:rFonts w:ascii="Times New Roman" w:hAnsi="Times New Roman"/>
          <w:b w:val="false"/>
          <w:i w:val="false"/>
          <w:color w:val="000000"/>
          <w:sz w:val="22"/>
        </w:rPr>
        <w:t>In the registration of vessels for which a U.S. Coast Guard capacity rating in whole persons has been assigned as evidenced by a U.S. Coast Guard capacity plate affixed to the vessel, that capacity shall be recognized as the registration capacity.</w:t>
      </w:r>
    </w:p>
    <w:p>
      <w:pPr>
        <w:spacing w:before="210" w:after="0"/>
        <w:ind w:left="120"/>
        <w:jc w:val="both"/>
      </w:pPr>
      <w:r>
        <w:rPr>
          <w:rFonts w:ascii="Times New Roman" w:hAnsi="Times New Roman"/>
          <w:b/>
          <w:i w:val="false"/>
          <w:color w:val="000000"/>
          <w:sz w:val="22"/>
        </w:rPr>
        <w:t>571—39.2</w:t>
      </w:r>
      <w:r>
        <w:rPr>
          <w:rFonts w:ascii="Times New Roman" w:hAnsi="Times New Roman"/>
          <w:b/>
          <w:i w:val="false"/>
          <w:color w:val="000000"/>
          <w:sz w:val="22"/>
        </w:rPr>
        <w:t xml:space="preserve">(462A) </w:t>
      </w:r>
      <w:r>
        <w:rPr>
          <w:rFonts w:ascii="Times New Roman" w:hAnsi="Times New Roman"/>
          <w:b/>
          <w:i w:val="false"/>
          <w:color w:val="000000"/>
          <w:sz w:val="22"/>
        </w:rPr>
        <w:t xml:space="preserve">Vessels assigned a capacity rating by the manufacturer. </w:t>
      </w:r>
      <w:r>
        <w:rPr>
          <w:rFonts w:ascii="Times New Roman" w:hAnsi="Times New Roman"/>
          <w:b w:val="false"/>
          <w:i w:val="false"/>
          <w:color w:val="000000"/>
          <w:sz w:val="22"/>
        </w:rPr>
        <w:t>In the registration of vessels for which a U.S. Coast Guard capacity rating in whole persons has not been assigned but a plate has been affixed to the vessel containing capacity information, in whole persons, furnished by the boating industry association, national marine manufacturer association or any similar organization, that capacity shall be recognized as the registration capacity.</w:t>
      </w:r>
    </w:p>
    <w:p>
      <w:pPr>
        <w:spacing w:before="210" w:after="0"/>
        <w:ind w:left="120"/>
        <w:jc w:val="both"/>
      </w:pPr>
      <w:r>
        <w:rPr>
          <w:rFonts w:ascii="Times New Roman" w:hAnsi="Times New Roman"/>
          <w:b/>
          <w:i w:val="false"/>
          <w:color w:val="000000"/>
          <w:sz w:val="22"/>
        </w:rPr>
        <w:t>571—39.3</w:t>
      </w:r>
      <w:r>
        <w:rPr>
          <w:rFonts w:ascii="Times New Roman" w:hAnsi="Times New Roman"/>
          <w:b/>
          <w:i w:val="false"/>
          <w:color w:val="000000"/>
          <w:sz w:val="22"/>
        </w:rPr>
        <w:t xml:space="preserve">(462A) </w:t>
      </w:r>
      <w:r>
        <w:rPr>
          <w:rFonts w:ascii="Times New Roman" w:hAnsi="Times New Roman"/>
          <w:b/>
          <w:i w:val="false"/>
          <w:color w:val="000000"/>
          <w:sz w:val="22"/>
        </w:rPr>
        <w:t xml:space="preserve">Vessels not containing capacity rating information. </w:t>
      </w:r>
      <w:r>
        <w:rPr>
          <w:rFonts w:ascii="Times New Roman" w:hAnsi="Times New Roman"/>
          <w:b w:val="false"/>
          <w:i w:val="false"/>
          <w:color w:val="000000"/>
          <w:sz w:val="22"/>
        </w:rPr>
        <w:t xml:space="preserve">In the registration of vessels for which no passenger capacity information has been provided by the U.S. Coast Guard or the manufacturer, the passenger capacity designated on the registration shall be O.R., “Operators Responsibility.” The responsibility for determining passenger capacity of a vessel so designated shall rest with the operator of the vessel. Such operation must comply with the provisions of Iowa Code section </w:t>
      </w:r>
      <w:hyperlink r:id="rId5">
        <w:r>
          <w:rPr>
            <w:rStyle w:val="Hyperlink"/>
            <w:rFonts w:ascii="Times New Roman" w:hAnsi="Times New Roman"/>
            <w:b w:val="false"/>
            <w:i w:val="false"/>
            <w:color w:val="000000"/>
            <w:sz w:val="22"/>
          </w:rPr>
          <w:t>462A.12(1)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571—39.4</w:t>
      </w:r>
      <w:r>
        <w:rPr>
          <w:rFonts w:ascii="Times New Roman" w:hAnsi="Times New Roman"/>
          <w:b/>
          <w:i w:val="false"/>
          <w:color w:val="000000"/>
          <w:sz w:val="22"/>
        </w:rPr>
        <w:t xml:space="preserve">(462A) </w:t>
      </w:r>
      <w:r>
        <w:rPr>
          <w:rFonts w:ascii="Times New Roman" w:hAnsi="Times New Roman"/>
          <w:b/>
          <w:i w:val="false"/>
          <w:color w:val="000000"/>
          <w:sz w:val="22"/>
        </w:rPr>
        <w:t xml:space="preserve">Incorrect registration. </w:t>
      </w:r>
      <w:r>
        <w:rPr>
          <w:rFonts w:ascii="Times New Roman" w:hAnsi="Times New Roman"/>
          <w:b w:val="false"/>
          <w:i w:val="false"/>
          <w:color w:val="000000"/>
          <w:sz w:val="22"/>
        </w:rPr>
        <w:t>When information contained on the registration certificate of a vessel is found to be incorrect regarding vessel length, vessel width, or passenger capacity, officers appointed by the department of natural resources may, upon inspection of the vessel, or the county recorder, upon presentation of adequate documentation including, but not limited to, an affidavit by the owner, may change the information on the certificate.</w:t>
      </w:r>
    </w:p>
    <w:p>
      <w:pPr>
        <w:spacing w:before="0" w:after="0"/>
        <w:ind w:left="120"/>
        <w:jc w:val="both"/>
      </w:pPr>
      <w:r>
        <w:rPr>
          <w:rFonts w:ascii="Times New Roman" w:hAnsi="Times New Roman"/>
          <w:b w:val="false"/>
          <w:i w:val="false"/>
          <w:color w:val="000000"/>
          <w:sz w:val="22"/>
        </w:rPr>
        <w:t>The officer shall within four days notify the department of natural resources and the county recorder of the county in which the vessel is registered of the changes on DNR Form 542-8094.</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462A.20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462A.24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12/19/61; amended 5/15/62, 3/5/75]</w:t>
      </w:r>
    </w:p>
    <w:p>
      <w:pPr>
        <w:spacing w:before="0" w:after="0"/>
        <w:ind w:left="120"/>
        <w:jc w:val="center"/>
      </w:pPr>
      <w:r>
        <w:rPr>
          <w:rFonts w:ascii="Times New Roman" w:hAnsi="Times New Roman"/>
          <w:b w:val="false"/>
          <w:i w:val="false"/>
          <w:color w:val="000000"/>
          <w:sz w:val="21"/>
        </w:rPr>
        <w:t>[Filed 9/5/80, Notice 7/23/80—published 10/1/80, effective 11/5/80]</w:t>
      </w:r>
    </w:p>
    <w:p>
      <w:pPr>
        <w:spacing w:before="0" w:after="0"/>
        <w:ind w:left="120"/>
        <w:jc w:val="center"/>
      </w:pPr>
      <w:r>
        <w:rPr>
          <w:rFonts w:ascii="Times New Roman" w:hAnsi="Times New Roman"/>
          <w:b w:val="false"/>
          <w:i w:val="false"/>
          <w:color w:val="000000"/>
          <w:sz w:val="21"/>
        </w:rPr>
        <w:t>[Filed 3/9/84, Notice 2/1/84—published 3/28/84, effective 5/2/84]</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8/13/04, Notice 6/9/04—published 9/1/04, effective 10/6/04]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12.pdf" Type="http://schemas.openxmlformats.org/officeDocument/2006/relationships/hyperlink" Id="rId5"/>
    <Relationship TargetMode="External" Target="https://www.legis.iowa.gov/docs/ico/chapter/462A.20.pdf" Type="http://schemas.openxmlformats.org/officeDocument/2006/relationships/hyperlink" Id="rId6"/>
    <Relationship TargetMode="External" Target="https://www.legis.iowa.gov/docs/ico/chapter/462A.2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