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BOAT REGISTRATION AND NUMBERING</w:t>
      </w:r>
    </w:p>
    <w:p>
      <w:pPr>
        <w:spacing w:before="0" w:after="0"/>
        <w:ind w:left="120"/>
        <w:jc w:val="center"/>
      </w:pPr>
      <w:r>
        <w:rPr>
          <w:rFonts w:ascii="Times New Roman" w:hAnsi="Times New Roman"/>
          <w:b w:val="false"/>
          <w:i w:val="false"/>
          <w:color w:val="000000"/>
          <w:sz w:val="14"/>
        </w:rPr>
        <w:t>[Prior to 12/31/86, Conservation Commission[290] Ch 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571—38.1</w:t>
      </w:r>
      <w:r>
        <w:rPr>
          <w:rFonts w:ascii="Times New Roman" w:hAnsi="Times New Roman"/>
          <w:b/>
          <w:i w:val="false"/>
          <w:color w:val="000000"/>
          <w:sz w:val="22"/>
        </w:rPr>
        <w:t xml:space="preserve">(462A) </w:t>
      </w:r>
      <w:r>
        <w:rPr>
          <w:rFonts w:ascii="Times New Roman" w:hAnsi="Times New Roman"/>
          <w:b/>
          <w:i w:val="false"/>
          <w:color w:val="000000"/>
          <w:sz w:val="22"/>
        </w:rPr>
        <w:t xml:space="preserve">Emblem placed. </w:t>
      </w:r>
      <w:r>
        <w:rPr>
          <w:rFonts w:ascii="Times New Roman" w:hAnsi="Times New Roman"/>
          <w:b w:val="false"/>
          <w:i w:val="false"/>
          <w:color w:val="000000"/>
          <w:sz w:val="22"/>
        </w:rPr>
        <w:t>The current registration emblem shall be placed four inches toward the stern of the registration number on each side of the bow of the vessel. On the port side the emblem will be four inches behind the registration number, and on the starboard side four inches in front of the registration number.</w:t>
      </w:r>
    </w:p>
    <w:p>
      <w:pPr>
        <w:spacing w:before="0" w:after="0"/>
        <w:ind w:left="120"/>
        <w:jc w:val="both"/>
      </w:pPr>
      <w:r>
        <w:rPr>
          <w:rFonts w:ascii="Times New Roman" w:hAnsi="Times New Roman"/>
          <w:b w:val="false"/>
          <w:i w:val="false"/>
          <w:color w:val="000000"/>
          <w:sz w:val="22"/>
        </w:rPr>
        <w:t xml:space="preserve">On sailboats, when the registration number is placed on the mast as permitted by 571—paragraph </w:t>
      </w:r>
      <w:hyperlink r:id="rId5">
        <w:r>
          <w:rPr>
            <w:rStyle w:val="Hyperlink"/>
            <w:rFonts w:ascii="Times New Roman" w:hAnsi="Times New Roman"/>
            <w:b w:val="false"/>
            <w:i w:val="false"/>
            <w:color w:val="000000"/>
            <w:sz w:val="22"/>
          </w:rPr>
          <w:t>38.19(1)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registration emblem shall be placed four inches below the registration number on each side of the mast.</w:t>
      </w:r>
    </w:p>
    <w:p>
      <w:pPr>
        <w:spacing w:before="0" w:after="0"/>
        <w:ind w:left="120"/>
        <w:jc w:val="both"/>
      </w:pPr>
      <w:r>
        <w:rPr>
          <w:rFonts w:ascii="Times New Roman" w:hAnsi="Times New Roman"/>
          <w:b w:val="false"/>
          <w:i w:val="false"/>
          <w:color w:val="000000"/>
          <w:sz w:val="22"/>
        </w:rPr>
        <w:t>All newly registered boats or boats with renewed registrations will receive emblems with the registration certificate.</w:t>
      </w:r>
    </w:p>
    <w:p>
      <w:pPr>
        <w:spacing w:before="0" w:after="0"/>
        <w:ind w:left="120"/>
        <w:jc w:val="both"/>
      </w:pPr>
      <w:r>
        <w:rPr>
          <w:rFonts w:ascii="Times New Roman" w:hAnsi="Times New Roman"/>
          <w:b w:val="false"/>
          <w:i w:val="false"/>
          <w:color w:val="000000"/>
          <w:sz w:val="22"/>
        </w:rPr>
        <w:t xml:space="preserve">This rule shall apply to all registered vessels, including those being used by dealers in accordance with Iowa Code chapter </w:t>
      </w:r>
      <w:hyperlink r:id="rId6">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requirements of this chapter pertaining to the display of registration decals, registration numbers and passenger capacity numbers do not apply to vessels that are exempt pursuant to Iowa Code section </w:t>
      </w:r>
      <w:hyperlink r:id="rId7">
        <w:r>
          <w:rPr>
            <w:rStyle w:val="Hyperlink"/>
            <w:rFonts w:ascii="Times New Roman" w:hAnsi="Times New Roman"/>
            <w:b w:val="false"/>
            <w:i w:val="false"/>
            <w:color w:val="000000"/>
            <w:sz w:val="22"/>
          </w:rPr>
          <w:t>462A.6A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462A.5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462A.6A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571—38.2</w:t>
      </w:r>
      <w:r>
        <w:rPr>
          <w:rFonts w:ascii="Times New Roman" w:hAnsi="Times New Roman"/>
          <w:b w:val="false"/>
          <w:i w:val="false"/>
          <w:color w:val="000000"/>
          <w:sz w:val="22"/>
        </w:rPr>
        <w:t xml:space="preserve"> to </w:t>
      </w:r>
      <w:r>
        <w:rPr>
          <w:rFonts w:ascii="Times New Roman" w:hAnsi="Times New Roman"/>
          <w:b/>
          <w:i w:val="false"/>
          <w:color w:val="000000"/>
          <w:sz w:val="22"/>
        </w:rPr>
        <w:t>38.5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571—38.6</w:t>
      </w:r>
      <w:r>
        <w:rPr>
          <w:rFonts w:ascii="Times New Roman" w:hAnsi="Times New Roman"/>
          <w:b/>
          <w:i w:val="false"/>
          <w:color w:val="000000"/>
          <w:sz w:val="22"/>
        </w:rPr>
        <w:t xml:space="preserve">(462A) </w:t>
      </w:r>
      <w:r>
        <w:rPr>
          <w:rFonts w:ascii="Times New Roman" w:hAnsi="Times New Roman"/>
          <w:b/>
          <w:i w:val="false"/>
          <w:color w:val="000000"/>
          <w:sz w:val="22"/>
        </w:rPr>
        <w:t xml:space="preserve">Procedure for application for boat registration number—content.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following information shall be submitted on DNR Forms 542-8067 and 542-2000: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number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Hull material (wood, steel, aluminum, plastic,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of propulsion (outboard, inboard,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Length and width of boat.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Make and model year. For home-built vessels, the year that construction is started shall serve as the model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Statement as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From whom purchased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38.6(2)</w:t>
      </w:r>
      <w:r>
        <w:rPr>
          <w:rFonts w:ascii="Times New Roman" w:hAnsi="Times New Roman"/>
          <w:b w:val="false"/>
          <w:i w:val="false"/>
          <w:color w:val="000000"/>
          <w:sz w:val="22"/>
        </w:rPr>
        <w:t> </w:t>
      </w:r>
      <w:r>
        <w:rPr>
          <w:rFonts w:ascii="Times New Roman" w:hAnsi="Times New Roman"/>
          <w:b w:val="false"/>
          <w:i/>
          <w:color w:val="000000"/>
          <w:sz w:val="22"/>
        </w:rPr>
        <w:t xml:space="preserve">Vessels not previously registered. </w:t>
      </w:r>
      <w:r>
        <w:rPr>
          <w:rFonts w:ascii="Times New Roman" w:hAnsi="Times New Roman"/>
          <w:b w:val="false"/>
          <w:i w:val="false"/>
          <w:color w:val="000000"/>
          <w:sz w:val="22"/>
        </w:rPr>
        <w:t>If a person is making application for a boat registration number for a used vessel that has never before been registered or titled and the person does not have any satisfactory proof of ownership, the county recorder may issue a certificate of number for the used vessel if the applicant has provided the recorder with a signed and notarized affidavit, on DNR Form 542-8074, stating that the person making the application is the lawful owner of the vessel.</w:t>
      </w:r>
    </w:p>
    <w:p>
      <w:pPr>
        <w:spacing w:before="210" w:after="0"/>
        <w:ind w:left="120"/>
        <w:jc w:val="both"/>
      </w:pPr>
      <w:r>
        <w:rPr>
          <w:rFonts w:ascii="Times New Roman" w:hAnsi="Times New Roman"/>
          <w:b/>
          <w:i w:val="false"/>
          <w:color w:val="000000"/>
          <w:sz w:val="22"/>
        </w:rPr>
        <w:t>571—38.7</w:t>
      </w:r>
      <w:r>
        <w:rPr>
          <w:rFonts w:ascii="Times New Roman" w:hAnsi="Times New Roman"/>
          <w:b w:val="false"/>
          <w:i w:val="false"/>
          <w:color w:val="000000"/>
          <w:sz w:val="22"/>
        </w:rPr>
        <w:t xml:space="preserve"> to </w:t>
      </w:r>
      <w:r>
        <w:rPr>
          <w:rFonts w:ascii="Times New Roman" w:hAnsi="Times New Roman"/>
          <w:b/>
          <w:i w:val="false"/>
          <w:color w:val="000000"/>
          <w:sz w:val="22"/>
        </w:rPr>
        <w:t>38.9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571—38.10</w:t>
      </w:r>
      <w:r>
        <w:rPr>
          <w:rFonts w:ascii="Times New Roman" w:hAnsi="Times New Roman"/>
          <w:b/>
          <w:i w:val="false"/>
          <w:color w:val="000000"/>
          <w:sz w:val="22"/>
        </w:rPr>
        <w:t xml:space="preserve">(462A) </w:t>
      </w:r>
      <w:r>
        <w:rPr>
          <w:rFonts w:ascii="Times New Roman" w:hAnsi="Times New Roman"/>
          <w:b/>
          <w:i w:val="false"/>
          <w:color w:val="000000"/>
          <w:sz w:val="22"/>
        </w:rPr>
        <w:t xml:space="preserve">Information on certificate. </w:t>
      </w:r>
      <w:r>
        <w:rPr>
          <w:rFonts w:ascii="Times New Roman" w:hAnsi="Times New Roman"/>
          <w:b w:val="false"/>
          <w:i w:val="false"/>
          <w:color w:val="000000"/>
          <w:sz w:val="22"/>
        </w:rPr>
        <w:t>The certificate of number (DNR Form 542-0540) shall show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boat owner.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Number issued.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Expiration date.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Make, or model, or type of boat.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Hull material (wood, steel, aluminum, plastic, other).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Length and width of vessel.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Propulsion (inboard, outboard, other).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Maximum capacity rating (number of persons).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Decal audit number.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If vessel is required to be bonded, date of bonding.</w:t>
      </w:r>
    </w:p>
    <w:p>
      <w:pPr>
        <w:spacing w:before="0" w:after="0"/>
        <w:ind w:left="120"/>
        <w:jc w:val="both"/>
      </w:pPr>
      <w:r>
        <w:rPr>
          <w:rFonts w:ascii="Times New Roman" w:hAnsi="Times New Roman"/>
          <w:b/>
          <w:i w:val="false"/>
          <w:color w:val="000000"/>
          <w:sz w:val="22"/>
        </w:rPr>
        <w:t>571—38.11</w:t>
      </w:r>
      <w:r>
        <w:rPr>
          <w:rFonts w:ascii="Times New Roman" w:hAnsi="Times New Roman"/>
          <w:b/>
          <w:i w:val="false"/>
          <w:color w:val="000000"/>
          <w:sz w:val="22"/>
        </w:rPr>
        <w:t xml:space="preserve">(462A) </w:t>
      </w:r>
      <w:r>
        <w:rPr>
          <w:rFonts w:ascii="Times New Roman" w:hAnsi="Times New Roman"/>
          <w:b/>
          <w:i w:val="false"/>
          <w:color w:val="000000"/>
          <w:sz w:val="22"/>
        </w:rPr>
        <w:t xml:space="preserve">Registration applied for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38.11(1)</w:t>
      </w:r>
      <w:r>
        <w:rPr>
          <w:rFonts w:ascii="Times New Roman" w:hAnsi="Times New Roman"/>
          <w:b w:val="false"/>
          <w:i w:val="false"/>
          <w:color w:val="000000"/>
          <w:sz w:val="22"/>
        </w:rPr>
        <w:t> </w:t>
      </w:r>
      <w:r>
        <w:rPr>
          <w:rFonts w:ascii="Times New Roman" w:hAnsi="Times New Roman"/>
          <w:b w:val="false"/>
          <w:i/>
          <w:color w:val="000000"/>
          <w:sz w:val="22"/>
        </w:rPr>
        <w:t xml:space="preserve">Procedure for registration applied for card—content. </w:t>
      </w:r>
      <w:r>
        <w:rPr>
          <w:rFonts w:ascii="Times New Roman" w:hAnsi="Times New Roman"/>
          <w:b w:val="false"/>
          <w:i w:val="false"/>
          <w:color w:val="000000"/>
          <w:sz w:val="22"/>
        </w:rPr>
        <w:t>The following information shall be furnished, required and stated on the registration applied for card (DNR Form 542-0538):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and model of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Hull identification (or serial) number of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 registration number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and address of purchaser.</w:t>
      </w:r>
    </w:p>
    <w:p>
      <w:pPr>
        <w:spacing w:before="0" w:after="0"/>
        <w:ind w:left="120"/>
        <w:jc w:val="both"/>
      </w:pPr>
      <w:r>
        <w:rPr>
          <w:rFonts w:ascii="Times New Roman" w:hAnsi="Times New Roman"/>
          <w:b w:val="false"/>
          <w:i w:val="false"/>
          <w:color w:val="000000"/>
          <w:sz w:val="22"/>
        </w:rPr>
        <w:t>The above information shall be legibly printed on the card by the dealer selling the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38.11(2)</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The registration applied for card may be used only after an application for registration has been made to the county recorder. Placing a completed application for registration and required fee in the mail to the recorder shall constitute making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38.11(3)</w:t>
      </w:r>
      <w:r>
        <w:rPr>
          <w:rFonts w:ascii="Times New Roman" w:hAnsi="Times New Roman"/>
          <w:b w:val="false"/>
          <w:i w:val="false"/>
          <w:color w:val="000000"/>
          <w:sz w:val="22"/>
        </w:rPr>
        <w:t> </w:t>
      </w:r>
      <w:r>
        <w:rPr>
          <w:rFonts w:ascii="Times New Roman" w:hAnsi="Times New Roman"/>
          <w:b w:val="false"/>
          <w:i/>
          <w:color w:val="000000"/>
          <w:sz w:val="22"/>
        </w:rPr>
        <w:t xml:space="preserve">Placement on vessel. </w:t>
      </w:r>
      <w:r>
        <w:rPr>
          <w:rFonts w:ascii="Times New Roman" w:hAnsi="Times New Roman"/>
          <w:b w:val="false"/>
          <w:i w:val="false"/>
          <w:color w:val="000000"/>
          <w:sz w:val="22"/>
        </w:rPr>
        <w:t>The registration applied for card shall be placed on the forward half of the vessel in a position so as to be clearly visible at all times and shall be maintained in a legible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38.11(4)</w:t>
      </w:r>
      <w:r>
        <w:rPr>
          <w:rFonts w:ascii="Times New Roman" w:hAnsi="Times New Roman"/>
          <w:b w:val="false"/>
          <w:i w:val="false"/>
          <w:color w:val="000000"/>
          <w:sz w:val="22"/>
        </w:rPr>
        <w:t> </w:t>
      </w:r>
      <w:r>
        <w:rPr>
          <w:rFonts w:ascii="Times New Roman" w:hAnsi="Times New Roman"/>
          <w:b w:val="false"/>
          <w:i/>
          <w:color w:val="000000"/>
          <w:sz w:val="22"/>
        </w:rPr>
        <w:t xml:space="preserve">Proof of purchase. </w:t>
      </w:r>
      <w:r>
        <w:rPr>
          <w:rFonts w:ascii="Times New Roman" w:hAnsi="Times New Roman"/>
          <w:b w:val="false"/>
          <w:i w:val="false"/>
          <w:color w:val="000000"/>
          <w:sz w:val="22"/>
        </w:rPr>
        <w:t>The operator of any vessel displaying a registration applied for card shall carry and display upon request of any peace officer a valid bill of sale for said vessel.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462A.49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571—38.12</w:t>
      </w:r>
      <w:r>
        <w:rPr>
          <w:rFonts w:ascii="Times New Roman" w:hAnsi="Times New Roman"/>
          <w:b/>
          <w:i w:val="false"/>
          <w:color w:val="000000"/>
          <w:sz w:val="22"/>
        </w:rPr>
        <w:t xml:space="preserve">(462A) </w:t>
      </w:r>
      <w:r>
        <w:rPr>
          <w:rFonts w:ascii="Times New Roman" w:hAnsi="Times New Roman"/>
          <w:b/>
          <w:i w:val="false"/>
          <w:color w:val="000000"/>
          <w:sz w:val="22"/>
        </w:rPr>
        <w:t xml:space="preserve">Vessels in storage. </w:t>
      </w:r>
      <w:r>
        <w:rPr>
          <w:rFonts w:ascii="Times New Roman" w:hAnsi="Times New Roman"/>
          <w:b w:val="false"/>
          <w:i w:val="false"/>
          <w:color w:val="000000"/>
          <w:sz w:val="22"/>
        </w:rPr>
        <w:t>If the owner of a currently registered vessel places the vessel in storage, the owner shall return the registration certificate to the county recorder with an affidavit on DNR Form 542-8048. The county recorder shall notify the department of each registered vessel placed in storage. When the owner of a stored vessel desires to renew the vessel’s registration, the owner shall apply to the county recorder and pay the applicable fees.</w:t>
      </w:r>
    </w:p>
    <w:p>
      <w:pPr>
        <w:spacing w:before="210" w:after="0"/>
        <w:ind w:left="120"/>
        <w:jc w:val="both"/>
      </w:pPr>
      <w:r>
        <w:rPr>
          <w:rFonts w:ascii="Times New Roman" w:hAnsi="Times New Roman"/>
          <w:b/>
          <w:i w:val="false"/>
          <w:color w:val="000000"/>
          <w:sz w:val="22"/>
        </w:rPr>
        <w:t>571—38.13</w:t>
      </w:r>
      <w:r>
        <w:rPr>
          <w:rFonts w:ascii="Times New Roman" w:hAnsi="Times New Roman"/>
          <w:b w:val="false"/>
          <w:i w:val="false"/>
          <w:color w:val="000000"/>
          <w:sz w:val="22"/>
        </w:rPr>
        <w:t xml:space="preserve"> and </w:t>
      </w:r>
      <w:r>
        <w:rPr>
          <w:rFonts w:ascii="Times New Roman" w:hAnsi="Times New Roman"/>
          <w:b/>
          <w:i w:val="false"/>
          <w:color w:val="000000"/>
          <w:sz w:val="22"/>
        </w:rPr>
        <w:t>38.14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571—38.15</w:t>
      </w:r>
      <w:r>
        <w:rPr>
          <w:rFonts w:ascii="Times New Roman" w:hAnsi="Times New Roman"/>
          <w:b/>
          <w:i w:val="false"/>
          <w:color w:val="000000"/>
          <w:sz w:val="22"/>
        </w:rPr>
        <w:t xml:space="preserve">(462A) </w:t>
      </w:r>
      <w:r>
        <w:rPr>
          <w:rFonts w:ascii="Times New Roman" w:hAnsi="Times New Roman"/>
          <w:b/>
          <w:i w:val="false"/>
          <w:color w:val="000000"/>
          <w:sz w:val="22"/>
        </w:rPr>
        <w:t xml:space="preserve">Numbering pattern to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number. </w:t>
      </w:r>
      <w:r>
        <w:rPr>
          <w:rFonts w:ascii="Times New Roman" w:hAnsi="Times New Roman"/>
          <w:b w:val="false"/>
          <w:i w:val="false"/>
          <w:color w:val="000000"/>
          <w:sz w:val="22"/>
        </w:rPr>
        <w:t>The identification numbers awarded under the Iowa system shall consist of three parts. The first part shall consist of the letters “IA” indicating this state. The second part shall consist of not more than four Arabic numerals. The third part shall consist of not more than two letters.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38.15(2)</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The parts shall be separated by a hyphen or an equivalent space. As example:</w:t>
      </w:r>
    </w:p>
    <w:p>
      <w:pPr>
        <w:spacing w:before="0" w:after="0"/>
        <w:ind w:left="120"/>
        <w:jc w:val="both"/>
      </w:pPr>
      <w:r>
        <w:rPr>
          <w:rFonts w:ascii="Times New Roman" w:hAnsi="Times New Roman"/>
          <w:b w:val="false"/>
          <w:i w:val="false"/>
          <w:color w:val="000000"/>
          <w:sz w:val="22"/>
        </w:rPr>
        <w:t>IA-2500-C IA-9875-EA IA 7560 ZZ</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38.15(3)</w:t>
      </w:r>
      <w:r>
        <w:rPr>
          <w:rFonts w:ascii="Times New Roman" w:hAnsi="Times New Roman"/>
          <w:b w:val="false"/>
          <w:i w:val="false"/>
          <w:color w:val="000000"/>
          <w:sz w:val="22"/>
        </w:rPr>
        <w:t> </w:t>
      </w:r>
      <w:r>
        <w:rPr>
          <w:rFonts w:ascii="Times New Roman" w:hAnsi="Times New Roman"/>
          <w:b w:val="false"/>
          <w:i/>
          <w:color w:val="000000"/>
          <w:sz w:val="22"/>
        </w:rPr>
        <w:t xml:space="preserve">Unusable letters. </w:t>
      </w:r>
      <w:r>
        <w:rPr>
          <w:rFonts w:ascii="Times New Roman" w:hAnsi="Times New Roman"/>
          <w:b w:val="false"/>
          <w:i w:val="false"/>
          <w:color w:val="000000"/>
          <w:sz w:val="22"/>
        </w:rPr>
        <w:t>Since the letters “I,” “O,” and “Q” may be mistaken for Arabic numerals, they shall not be used in the suffix.</w:t>
      </w:r>
    </w:p>
    <w:p>
      <w:pPr>
        <w:spacing w:before="210" w:after="0"/>
        <w:ind w:left="120"/>
        <w:jc w:val="both"/>
      </w:pPr>
      <w:r>
        <w:rPr>
          <w:rFonts w:ascii="Times New Roman" w:hAnsi="Times New Roman"/>
          <w:b/>
          <w:i w:val="false"/>
          <w:color w:val="000000"/>
          <w:sz w:val="22"/>
        </w:rPr>
        <w:t>571—38.16</w:t>
      </w:r>
      <w:r>
        <w:rPr>
          <w:rFonts w:ascii="Times New Roman" w:hAnsi="Times New Roman"/>
          <w:b w:val="false"/>
          <w:i w:val="false"/>
          <w:color w:val="000000"/>
          <w:sz w:val="22"/>
        </w:rPr>
        <w:t xml:space="preserve"> to </w:t>
      </w:r>
      <w:r>
        <w:rPr>
          <w:rFonts w:ascii="Times New Roman" w:hAnsi="Times New Roman"/>
          <w:b/>
          <w:i w:val="false"/>
          <w:color w:val="000000"/>
          <w:sz w:val="22"/>
        </w:rPr>
        <w:t>38.18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571—38.19</w:t>
      </w:r>
      <w:r>
        <w:rPr>
          <w:rFonts w:ascii="Times New Roman" w:hAnsi="Times New Roman"/>
          <w:b/>
          <w:i w:val="false"/>
          <w:color w:val="000000"/>
          <w:sz w:val="22"/>
        </w:rPr>
        <w:t xml:space="preserve">(462A) </w:t>
      </w:r>
      <w:r>
        <w:rPr>
          <w:rFonts w:ascii="Times New Roman" w:hAnsi="Times New Roman"/>
          <w:b/>
          <w:i w:val="false"/>
          <w:color w:val="000000"/>
          <w:sz w:val="22"/>
        </w:rPr>
        <w:t xml:space="preserve">Display of number on vessel, as to size, block type and contrasting color.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38.19(1)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number. </w:t>
      </w:r>
      <w:r>
        <w:rPr>
          <w:rFonts w:ascii="Times New Roman" w:hAnsi="Times New Roman"/>
          <w:b w:val="false"/>
          <w:i w:val="false"/>
          <w:color w:val="000000"/>
          <w:sz w:val="22"/>
        </w:rPr>
        <w:t>The identification number awarded to any vessel under the Iowa numbering system shall be displayed thereon by 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Painted on, or attached to, each side of the bow (i.e., the forward half) of the vessel; read from left to right, and in such position as to provide maximum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block characters of good proportion not less than three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 a color which will contrast with the color of the background (i.e., dark numbers on a light background, or light numbers on a dark background) and so maintained as to be clearly visible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 vessels propelled by sail only, the numbers may be placed in such a position as to provide maximum visibility, on each side of the bow or deck or on each side of the boom or mast. In all cases except placement on the mast, the numbers shall read from left to right and comply with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In placement on the mast the number shall read from top to bottom and comply with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38.19(2)</w:t>
      </w:r>
      <w:r>
        <w:rPr>
          <w:rFonts w:ascii="Times New Roman" w:hAnsi="Times New Roman"/>
          <w:b w:val="false"/>
          <w:i w:val="false"/>
          <w:color w:val="000000"/>
          <w:sz w:val="22"/>
        </w:rPr>
        <w:t> </w:t>
      </w:r>
      <w:r>
        <w:rPr>
          <w:rFonts w:ascii="Times New Roman" w:hAnsi="Times New Roman"/>
          <w:b w:val="false"/>
          <w:i/>
          <w:color w:val="000000"/>
          <w:sz w:val="22"/>
        </w:rPr>
        <w:t xml:space="preserve">Restriction. </w:t>
      </w:r>
      <w:r>
        <w:rPr>
          <w:rFonts w:ascii="Times New Roman" w:hAnsi="Times New Roman"/>
          <w:b w:val="false"/>
          <w:i w:val="false"/>
          <w:color w:val="000000"/>
          <w:sz w:val="22"/>
        </w:rPr>
        <w:t>No other number shall be carried on the bow of the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38.19(3)</w:t>
      </w:r>
      <w:r>
        <w:rPr>
          <w:rFonts w:ascii="Times New Roman" w:hAnsi="Times New Roman"/>
          <w:b w:val="false"/>
          <w:i w:val="false"/>
          <w:color w:val="000000"/>
          <w:sz w:val="22"/>
        </w:rPr>
        <w:t> </w:t>
      </w:r>
      <w:r>
        <w:rPr>
          <w:rFonts w:ascii="Times New Roman" w:hAnsi="Times New Roman"/>
          <w:b w:val="false"/>
          <w:i/>
          <w:color w:val="000000"/>
          <w:sz w:val="22"/>
        </w:rPr>
        <w:t xml:space="preserve">Purchase of number. </w:t>
      </w:r>
      <w:r>
        <w:rPr>
          <w:rFonts w:ascii="Times New Roman" w:hAnsi="Times New Roman"/>
          <w:b w:val="false"/>
          <w:i w:val="false"/>
          <w:color w:val="000000"/>
          <w:sz w:val="22"/>
        </w:rPr>
        <w:t>Purchase and attachment of these letters and number is the responsibility of the boat owner.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462A.5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571—38.20</w:t>
      </w:r>
      <w:r>
        <w:rPr>
          <w:rFonts w:ascii="Times New Roman" w:hAnsi="Times New Roman"/>
          <w:b/>
          <w:i w:val="false"/>
          <w:color w:val="000000"/>
          <w:sz w:val="22"/>
        </w:rPr>
        <w:t xml:space="preserve">(462A) </w:t>
      </w:r>
      <w:r>
        <w:rPr>
          <w:rFonts w:ascii="Times New Roman" w:hAnsi="Times New Roman"/>
          <w:b/>
          <w:i w:val="false"/>
          <w:color w:val="000000"/>
          <w:sz w:val="22"/>
        </w:rPr>
        <w:t xml:space="preserve">Special certificates for boat dealers or manufacturers. </w:t>
      </w:r>
      <w:r>
        <w:rPr>
          <w:rFonts w:ascii="Times New Roman" w:hAnsi="Times New Roman"/>
          <w:b w:val="false"/>
          <w:i w:val="false"/>
          <w:color w:val="000000"/>
          <w:sz w:val="22"/>
        </w:rPr>
        <w:t>A manufacturer or dealer may operate an unregistered vessel for purposes of transporting, testing, demonstrating, or selling the vessel after first obtaining a special certificate from the department. An application for a special certificate shall be submitted on DNR Form 542-0488. A manufacturer or dealer operating a vessel pursuant to the issuance of a special certificate shall file an annual report on DNR Form 542-8062.</w:t>
      </w:r>
    </w:p>
    <w:p>
      <w:pPr>
        <w:spacing w:before="210" w:after="0"/>
        <w:ind w:left="120"/>
        <w:jc w:val="both"/>
      </w:pPr>
      <w:r>
        <w:rPr>
          <w:rFonts w:ascii="Times New Roman" w:hAnsi="Times New Roman"/>
          <w:b/>
          <w:i w:val="false"/>
          <w:color w:val="000000"/>
          <w:sz w:val="22"/>
        </w:rPr>
        <w:t>571—38.21</w:t>
      </w:r>
      <w:r>
        <w:rPr>
          <w:rFonts w:ascii="Times New Roman" w:hAnsi="Times New Roman"/>
          <w:b/>
          <w:i w:val="false"/>
          <w:color w:val="000000"/>
          <w:sz w:val="22"/>
        </w:rPr>
        <w:t xml:space="preserve">(462A) </w:t>
      </w:r>
      <w:r>
        <w:rPr>
          <w:rFonts w:ascii="Times New Roman" w:hAnsi="Times New Roman"/>
          <w:b/>
          <w:i w:val="false"/>
          <w:color w:val="000000"/>
          <w:sz w:val="22"/>
        </w:rPr>
        <w:t xml:space="preserve">Boat dealer’s annual report of vessels with expired registrations. </w:t>
      </w:r>
      <w:r>
        <w:rPr>
          <w:rFonts w:ascii="Times New Roman" w:hAnsi="Times New Roman"/>
          <w:b w:val="false"/>
          <w:i w:val="false"/>
          <w:color w:val="000000"/>
          <w:sz w:val="22"/>
        </w:rPr>
        <w:t>Each boat dealer shall file, before May 5 of each year, an annual report on DNR Form 542-8063 listing all used vessels held by the dealer for sale or trade and for which the registration fee for the current year has not been paid.</w:t>
      </w:r>
    </w:p>
    <w:p>
      <w:pPr>
        <w:spacing w:before="210" w:after="0"/>
        <w:ind w:left="120"/>
        <w:jc w:val="both"/>
      </w:pPr>
      <w:r>
        <w:rPr>
          <w:rFonts w:ascii="Times New Roman" w:hAnsi="Times New Roman"/>
          <w:b/>
          <w:i w:val="false"/>
          <w:color w:val="000000"/>
          <w:sz w:val="22"/>
        </w:rPr>
        <w:t>571—38.22</w:t>
      </w:r>
      <w:r>
        <w:rPr>
          <w:rFonts w:ascii="Times New Roman" w:hAnsi="Times New Roman"/>
          <w:b w:val="false"/>
          <w:i w:val="false"/>
          <w:color w:val="000000"/>
          <w:sz w:val="22"/>
        </w:rPr>
        <w:t xml:space="preserve"> to </w:t>
      </w:r>
      <w:r>
        <w:rPr>
          <w:rFonts w:ascii="Times New Roman" w:hAnsi="Times New Roman"/>
          <w:b/>
          <w:i w:val="false"/>
          <w:color w:val="000000"/>
          <w:sz w:val="22"/>
        </w:rPr>
        <w:t>38.24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571—38.25</w:t>
      </w:r>
      <w:r>
        <w:rPr>
          <w:rFonts w:ascii="Times New Roman" w:hAnsi="Times New Roman"/>
          <w:b/>
          <w:i w:val="false"/>
          <w:color w:val="000000"/>
          <w:sz w:val="22"/>
        </w:rPr>
        <w:t xml:space="preserve">(462A) </w:t>
      </w:r>
      <w:r>
        <w:rPr>
          <w:rFonts w:ascii="Times New Roman" w:hAnsi="Times New Roman"/>
          <w:b/>
          <w:i w:val="false"/>
          <w:color w:val="000000"/>
          <w:sz w:val="22"/>
        </w:rPr>
        <w:t xml:space="preserve">Number designating passenger capacity. </w:t>
      </w:r>
      <w:r>
        <w:rPr>
          <w:rFonts w:ascii="Times New Roman" w:hAnsi="Times New Roman"/>
          <w:b w:val="false"/>
          <w:i w:val="false"/>
          <w:color w:val="000000"/>
          <w:sz w:val="22"/>
        </w:rPr>
        <w:t>The passenger capacity of boats as assigned by the commission shall be painted or attached to the starboard side (the right side while in boat and facing the bow) of boat within nine inches of transom in three-inch or larger block numbers in a color contrasting to the boat color so that the numbers ride above the water line when boat is fully loaded.</w:t>
      </w:r>
    </w:p>
    <w:p>
      <w:pPr>
        <w:spacing w:before="210" w:after="0"/>
        <w:ind w:left="120"/>
        <w:jc w:val="both"/>
      </w:pPr>
      <w:r>
        <w:rPr>
          <w:rFonts w:ascii="Times New Roman" w:hAnsi="Times New Roman"/>
          <w:b/>
          <w:i w:val="false"/>
          <w:color w:val="000000"/>
          <w:sz w:val="22"/>
        </w:rPr>
        <w:t>571—38.26</w:t>
      </w:r>
      <w:r>
        <w:rPr>
          <w:rFonts w:ascii="Times New Roman" w:hAnsi="Times New Roman"/>
          <w:b/>
          <w:i w:val="false"/>
          <w:color w:val="000000"/>
          <w:sz w:val="22"/>
        </w:rPr>
        <w:t xml:space="preserve">(462A) </w:t>
      </w:r>
      <w:r>
        <w:rPr>
          <w:rFonts w:ascii="Times New Roman" w:hAnsi="Times New Roman"/>
          <w:b/>
          <w:i w:val="false"/>
          <w:color w:val="000000"/>
          <w:sz w:val="22"/>
        </w:rPr>
        <w:t xml:space="preserve">Monthly reports by county recorders. </w:t>
      </w:r>
      <w:r>
        <w:rPr>
          <w:rFonts w:ascii="Times New Roman" w:hAnsi="Times New Roman"/>
          <w:b w:val="false"/>
          <w:i w:val="false"/>
          <w:color w:val="000000"/>
          <w:sz w:val="22"/>
        </w:rPr>
        <w:t>Each county recorder shall submit a monthly report to the department on DNR Form 542-0418 listing all boats registered in that county in the previous month. The applicable fees shall accompany the monthly report.</w:t>
      </w:r>
    </w:p>
    <w:p>
      <w:pPr>
        <w:spacing w:before="210" w:after="0"/>
        <w:ind w:left="120"/>
        <w:jc w:val="both"/>
      </w:pPr>
      <w:r>
        <w:rPr>
          <w:rFonts w:ascii="Times New Roman" w:hAnsi="Times New Roman"/>
          <w:b/>
          <w:i w:val="false"/>
          <w:color w:val="000000"/>
          <w:sz w:val="22"/>
        </w:rPr>
        <w:t>571—38.27</w:t>
      </w:r>
      <w:r>
        <w:rPr>
          <w:rFonts w:ascii="Times New Roman" w:hAnsi="Times New Roman"/>
          <w:b w:val="false"/>
          <w:i w:val="false"/>
          <w:color w:val="000000"/>
          <w:sz w:val="22"/>
        </w:rPr>
        <w:t xml:space="preserve"> to </w:t>
      </w:r>
      <w:r>
        <w:rPr>
          <w:rFonts w:ascii="Times New Roman" w:hAnsi="Times New Roman"/>
          <w:b/>
          <w:i w:val="false"/>
          <w:color w:val="000000"/>
          <w:sz w:val="22"/>
        </w:rPr>
        <w:t>38.29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571—38.30</w:t>
      </w:r>
      <w:r>
        <w:rPr>
          <w:rFonts w:ascii="Times New Roman" w:hAnsi="Times New Roman"/>
          <w:b/>
          <w:i w:val="false"/>
          <w:color w:val="000000"/>
          <w:sz w:val="22"/>
        </w:rPr>
        <w:t xml:space="preserve">(462A) </w:t>
      </w:r>
      <w:r>
        <w:rPr>
          <w:rFonts w:ascii="Times New Roman" w:hAnsi="Times New Roman"/>
          <w:b/>
          <w:i w:val="false"/>
          <w:color w:val="000000"/>
          <w:sz w:val="22"/>
        </w:rPr>
        <w:t xml:space="preserve">Boats for hire. </w:t>
      </w:r>
      <w:r>
        <w:rPr>
          <w:rFonts w:ascii="Times New Roman" w:hAnsi="Times New Roman"/>
          <w:b w:val="false"/>
          <w:i w:val="false"/>
          <w:color w:val="000000"/>
          <w:sz w:val="22"/>
        </w:rPr>
        <w:t>Each commercial boat operator will be required to number the boat or boats used to operate for hire with block characters of good proportion not less than three inches in height, in the following manner.</w:t>
      </w:r>
    </w:p>
    <w:p>
      <w:pPr>
        <w:spacing w:before="0" w:after="0"/>
        <w:ind w:left="120"/>
        <w:jc w:val="both"/>
      </w:pPr>
      <w:r>
        <w:rPr>
          <w:rFonts w:ascii="Times New Roman" w:hAnsi="Times New Roman"/>
          <w:b w:val="false"/>
          <w:i w:val="false"/>
          <w:color w:val="000000"/>
          <w:sz w:val="22"/>
        </w:rPr>
        <w:t>Upon making application for a number for commercially operated vessels the following type number will be assigned:</w:t>
      </w:r>
    </w:p>
    <w:p>
      <w:pPr>
        <w:spacing w:before="0" w:after="0"/>
        <w:ind w:left="120"/>
        <w:jc w:val="both"/>
      </w:pPr>
      <w:r>
        <w:rPr>
          <w:rFonts w:ascii="Times New Roman" w:hAnsi="Times New Roman"/>
          <w:b w:val="false"/>
          <w:i w:val="false"/>
          <w:color w:val="000000"/>
          <w:sz w:val="22"/>
        </w:rPr>
        <w:t>Example IA-1555-E</w:t>
      </w:r>
    </w:p>
    <w:p>
      <w:pPr>
        <w:spacing w:before="0" w:after="0"/>
        <w:ind w:left="120"/>
        <w:jc w:val="both"/>
      </w:pPr>
      <w:r>
        <w:rPr>
          <w:rFonts w:ascii="Times New Roman" w:hAnsi="Times New Roman"/>
          <w:b w:val="false"/>
          <w:i w:val="false"/>
          <w:color w:val="000000"/>
          <w:sz w:val="22"/>
        </w:rPr>
        <w:t>To identify this vessel as a commercial vessel it will be required that the commercial operator affix an X as the final letter of the suffix:</w:t>
      </w:r>
    </w:p>
    <w:p>
      <w:pPr>
        <w:spacing w:before="0" w:after="0"/>
        <w:ind w:left="120"/>
        <w:jc w:val="both"/>
      </w:pPr>
      <w:r>
        <w:rPr>
          <w:rFonts w:ascii="Times New Roman" w:hAnsi="Times New Roman"/>
          <w:b w:val="false"/>
          <w:i w:val="false"/>
          <w:color w:val="000000"/>
          <w:sz w:val="22"/>
        </w:rPr>
        <w:t>Example IA-1555-EX</w:t>
      </w:r>
    </w:p>
    <w:p>
      <w:pPr>
        <w:spacing w:before="0" w:after="0"/>
        <w:ind w:left="120"/>
        <w:jc w:val="both"/>
      </w:pPr>
      <w:r>
        <w:rPr>
          <w:rFonts w:ascii="Times New Roman" w:hAnsi="Times New Roman"/>
          <w:b w:val="false"/>
          <w:i w:val="false"/>
          <w:color w:val="000000"/>
          <w:sz w:val="22"/>
        </w:rPr>
        <w:t>When a commercial operator transfers a vessel to another individual, unless it be to another commercial operator, it will be the operator’s responsibility to remove the second letter from the suffix. (The letter X).</w:t>
      </w:r>
    </w:p>
    <w:tbl>
      <w:tblPr>
        <w:tblW w:w="5000" w:type="pct"/>
        <w:tblCellSpacing w:w="0" w:type="auto"/>
        <w:tblBorders>
          <w:top w:val="none"/>
          <w:left w:val="none"/>
          <w:bottom w:val="none"/>
          <w:right w:val="none"/>
          <w:insideH w:val="none"/>
          <w:insideV w:val="none"/>
        </w:tblBorders>
        <w:tblLayout w:type="fixed"/>
      </w:tblPr>
      <w:tblGrid>
        <w:gridCol w:w="3689"/>
        <w:gridCol w:w="3751"/>
        <w:gridCol w:w="3750"/>
      </w:tblGrid>
      <w:tr>
        <w:trPr>
          <w:trHeight w:val="210" w:hRule="atLeast"/>
        </w:trPr>
        <w:tc>
          <w:tcPr>
            <w:tcW w:w="36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color w:val="000000"/>
                <w:sz w:val="16"/>
              </w:rPr>
              <w:t>Transferred to</w:t>
            </w:r>
          </w:p>
        </w:tc>
        <w:tc>
          <w:tcPr>
            <w:tcW w:w="37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6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Commercial</w:t>
            </w:r>
          </w:p>
        </w:tc>
        <w:tc>
          <w:tcPr>
            <w:tcW w:w="37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color w:val="000000"/>
                <w:sz w:val="16"/>
              </w:rPr>
              <w:t>Private Individual</w:t>
            </w:r>
          </w:p>
        </w:tc>
      </w:tr>
      <w:tr>
        <w:trPr>
          <w:trHeight w:val="210" w:hRule="atLeast"/>
        </w:trPr>
        <w:tc>
          <w:tcPr>
            <w:tcW w:w="36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IA-1555-XX</w:t>
            </w:r>
          </w:p>
        </w:tc>
        <w:tc>
          <w:tcPr>
            <w:tcW w:w="37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IA-1555-X</w:t>
            </w:r>
          </w:p>
        </w:tc>
      </w:tr>
      <w:tr>
        <w:trPr>
          <w:trHeight w:val="210" w:hRule="atLeast"/>
        </w:trPr>
        <w:tc>
          <w:tcPr>
            <w:tcW w:w="36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IA-1555-EX</w:t>
            </w:r>
          </w:p>
        </w:tc>
        <w:tc>
          <w:tcPr>
            <w:tcW w:w="37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IA-1555-E</w:t>
            </w:r>
          </w:p>
        </w:tc>
      </w:tr>
      <w:tr>
        <w:trPr>
          <w:trHeight w:val="210" w:hRule="atLeast"/>
        </w:trPr>
        <w:tc>
          <w:tcPr>
            <w:tcW w:w="36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color w:val="000000"/>
                <w:sz w:val="16"/>
              </w:rPr>
              <w:t>Transferred to</w:t>
            </w:r>
          </w:p>
        </w:tc>
        <w:tc>
          <w:tcPr>
            <w:tcW w:w="37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6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Private</w:t>
            </w:r>
          </w:p>
        </w:tc>
        <w:tc>
          <w:tcPr>
            <w:tcW w:w="37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color w:val="000000"/>
                <w:sz w:val="16"/>
              </w:rPr>
              <w:t>Commercial Operator</w:t>
            </w:r>
          </w:p>
        </w:tc>
      </w:tr>
      <w:tr>
        <w:trPr>
          <w:trHeight w:val="210" w:hRule="atLeast"/>
        </w:trPr>
        <w:tc>
          <w:tcPr>
            <w:tcW w:w="36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IA-1555-A</w:t>
            </w:r>
          </w:p>
        </w:tc>
        <w:tc>
          <w:tcPr>
            <w:tcW w:w="37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IA-1555-AX</w:t>
            </w:r>
          </w:p>
        </w:tc>
      </w:tr>
      <w:tr>
        <w:trPr>
          <w:trHeight w:val="210" w:hRule="atLeast"/>
        </w:trPr>
        <w:tc>
          <w:tcPr>
            <w:tcW w:w="36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IA-1555-D</w:t>
            </w:r>
          </w:p>
        </w:tc>
        <w:tc>
          <w:tcPr>
            <w:tcW w:w="37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IA-1555-DX</w:t>
            </w:r>
          </w:p>
        </w:tc>
      </w:tr>
    </w:tbl>
    <w:p>
      <w:pPr>
        <w:spacing w:before="0" w:after="0"/>
        <w:ind w:left="120"/>
        <w:jc w:val="center"/>
      </w:pPr>
      <w:r>
        <w:rPr>
          <w:rFonts w:ascii="Times New Roman" w:hAnsi="Times New Roman"/>
          <w:b w:val="false"/>
          <w:i w:val="false"/>
          <w:color w:val="000000"/>
          <w:sz w:val="21"/>
        </w:rPr>
        <w:t>[Filed 8/16/62; amended 4/8/63, 9/13/66, 12/12/73]</w:t>
      </w:r>
    </w:p>
    <w:p>
      <w:pPr>
        <w:spacing w:before="0" w:after="0"/>
        <w:ind w:left="120"/>
        <w:jc w:val="center"/>
      </w:pPr>
      <w:r>
        <w:rPr>
          <w:rFonts w:ascii="Times New Roman" w:hAnsi="Times New Roman"/>
          <w:b w:val="false"/>
          <w:i w:val="false"/>
          <w:color w:val="000000"/>
          <w:sz w:val="21"/>
        </w:rPr>
        <w:t>[Filed 6/22/77, Notice 5/18/77—published 7/13/77, effective 9/28/77]</w:t>
      </w:r>
    </w:p>
    <w:p>
      <w:pPr>
        <w:spacing w:before="0" w:after="0"/>
        <w:ind w:left="120"/>
        <w:jc w:val="center"/>
      </w:pPr>
      <w:r>
        <w:rPr>
          <w:rFonts w:ascii="Times New Roman" w:hAnsi="Times New Roman"/>
          <w:b w:val="false"/>
          <w:i w:val="false"/>
          <w:color w:val="000000"/>
          <w:sz w:val="21"/>
        </w:rPr>
        <w:t>[Filed 3/13/80, Notice 1/9/80—published 4/2/80, effective 5/9/80]</w:t>
      </w:r>
    </w:p>
    <w:p>
      <w:pPr>
        <w:spacing w:before="0" w:after="0"/>
        <w:ind w:left="120"/>
        <w:jc w:val="center"/>
      </w:pPr>
      <w:r>
        <w:rPr>
          <w:rFonts w:ascii="Times New Roman" w:hAnsi="Times New Roman"/>
          <w:b w:val="false"/>
          <w:i w:val="false"/>
          <w:color w:val="000000"/>
          <w:sz w:val="21"/>
        </w:rPr>
        <w:t>[Filed 7/2/80, Notice 4/30/80—published 7/23/80, effective 8/29/80]</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10/11/91, Notice 8/7/91—published 10/30/91, effective 12/4/91]</w:t>
      </w:r>
    </w:p>
    <w:p>
      <w:pPr>
        <w:spacing w:before="0" w:after="0"/>
        <w:ind w:left="120"/>
        <w:jc w:val="center"/>
      </w:pPr>
      <w:r>
        <w:rPr>
          <w:rFonts w:ascii="Times New Roman" w:hAnsi="Times New Roman"/>
          <w:b w:val="false"/>
          <w:i w:val="false"/>
          <w:color w:val="000000"/>
          <w:sz w:val="21"/>
        </w:rPr>
        <w:t>[Filed 6/12/98, Notice 4/8/98—published 7/1/98, effective 8/5/98]</w:t>
      </w:r>
    </w:p>
    <w:p>
      <w:pPr>
        <w:spacing w:before="0" w:after="0"/>
        <w:ind w:left="120"/>
        <w:jc w:val="center"/>
      </w:pPr>
      <w:r>
        <w:rPr>
          <w:rFonts w:ascii="Times New Roman" w:hAnsi="Times New Roman"/>
          <w:b w:val="false"/>
          <w:i w:val="false"/>
          <w:color w:val="000000"/>
          <w:sz w:val="21"/>
        </w:rPr>
        <w:t>[Filed 3/14/03, Notice 10/30/02—published 4/2/03, effective 7/1/03]</w:t>
      </w:r>
    </w:p>
    <w:p>
      <w:pPr>
        <w:spacing w:before="0" w:after="0"/>
        <w:ind w:left="120"/>
        <w:jc w:val="center"/>
      </w:pPr>
      <w:r>
        <w:rPr>
          <w:rFonts w:ascii="Times New Roman" w:hAnsi="Times New Roman"/>
          <w:b w:val="false"/>
          <w:i w:val="false"/>
          <w:color w:val="000000"/>
          <w:sz w:val="21"/>
        </w:rPr>
        <w:t>[Filed 8/13/04, Notice 6/9/04—published 9/1/04, effective 10/6/04]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38.19.pdf" Type="http://schemas.openxmlformats.org/officeDocument/2006/relationships/hyperlink" Id="rId5"/>
    <Relationship TargetMode="External" Target="https://www.legis.iowa.gov/docs/ico/chapter/462A.pdf" Type="http://schemas.openxmlformats.org/officeDocument/2006/relationships/hyperlink" Id="rId6"/>
    <Relationship TargetMode="External" Target="https://www.legis.iowa.gov/docs/ico/chapter/462A.6A.pdf" Type="http://schemas.openxmlformats.org/officeDocument/2006/relationships/hyperlink" Id="rId7"/>
    <Relationship TargetMode="External" Target="https://www.legis.iowa.gov/docs/ico/chapter/462A.5.pdf" Type="http://schemas.openxmlformats.org/officeDocument/2006/relationships/hyperlink" Id="rId8"/>
    <Relationship TargetMode="External" Target="https://www.legis.iowa.gov/docs/ico/chapter/462A.6A.pdf" Type="http://schemas.openxmlformats.org/officeDocument/2006/relationships/hyperlink" Id="rId9"/>
    <Relationship TargetMode="External" Target="https://www.legis.iowa.gov/docs/ico/chapter/462A.49.pdf" Type="http://schemas.openxmlformats.org/officeDocument/2006/relationships/hyperlink" Id="rId10"/>
    <Relationship TargetMode="External" Target="https://www.legis.iowa.gov/docs/ico/chapter/462A.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