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TRAPPING LIMITATIONS</w:t>
      </w:r>
    </w:p>
    <w:p>
      <w:pPr>
        <w:spacing w:before="0" w:after="0"/>
        <w:ind w:left="120"/>
        <w:jc w:val="center"/>
      </w:pPr>
      <w:r>
        <w:rPr>
          <w:rFonts w:ascii="Times New Roman" w:hAnsi="Times New Roman"/>
          <w:b w:val="false"/>
          <w:i w:val="false"/>
          <w:color w:val="000000"/>
          <w:sz w:val="14"/>
        </w:rPr>
        <w:t>[Prior to 12/31/86, Conservation Commission[290] Ch 114]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571—110.1</w:t>
      </w:r>
      <w:r>
        <w:rPr>
          <w:rFonts w:ascii="Times New Roman" w:hAnsi="Times New Roman"/>
          <w:b/>
          <w:i w:val="false"/>
          <w:color w:val="000000"/>
          <w:sz w:val="22"/>
        </w:rPr>
        <w:t xml:space="preserve">(481A) </w:t>
      </w:r>
      <w:r>
        <w:rPr>
          <w:rFonts w:ascii="Times New Roman" w:hAnsi="Times New Roman"/>
          <w:b/>
          <w:i w:val="false"/>
          <w:color w:val="000000"/>
          <w:sz w:val="22"/>
        </w:rPr>
        <w:t xml:space="preserve">Public roadside limitations—snares, body-gripping, and conibear type traps. </w:t>
      </w:r>
      <w:r>
        <w:rPr>
          <w:rFonts w:ascii="Times New Roman" w:hAnsi="Times New Roman"/>
          <w:b w:val="false"/>
          <w:i w:val="false"/>
          <w:color w:val="000000"/>
          <w:sz w:val="22"/>
        </w:rPr>
        <w:t>No person shall set or maintain any snare, body-gripping, or conibear type trap within any public road right-of-way within 200 yards of buildings inhabited by human beings unless a resident of the dwelling adjacent to the public road right-of-way has given permission or unless the body-gripping or conibear type trap is completely underwater or at least one-half of the loop of a snare is underwater. Nothing in this rule shall be construed as limiting the use of foothold traps or box-type live traps in public road rights-of-way. No person shall place or leave any trap, stake, or nonindigenous set making material upon any public road right-of-way except during a period of time that begins two weeks before the trapping season opens and ends on the last day of the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571—110.2</w:t>
      </w:r>
      <w:r>
        <w:rPr>
          <w:rFonts w:ascii="Times New Roman" w:hAnsi="Times New Roman"/>
          <w:b/>
          <w:i w:val="false"/>
          <w:color w:val="000000"/>
          <w:sz w:val="22"/>
        </w:rPr>
        <w:t xml:space="preserve">(481A) </w:t>
      </w:r>
      <w:r>
        <w:rPr>
          <w:rFonts w:ascii="Times New Roman" w:hAnsi="Times New Roman"/>
          <w:b/>
          <w:i w:val="false"/>
          <w:color w:val="000000"/>
          <w:sz w:val="22"/>
        </w:rPr>
        <w:t xml:space="preserve">Snares.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No person shall set or maintain any snare in any public road right-of-way so that the snare when fully extended can touch any fence. Snares may not be attached to a drag.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w:t>
      </w:r>
      <w:r>
        <w:rPr>
          <w:rFonts w:ascii="Times New Roman" w:hAnsi="Times New Roman"/>
          <w:b w:val="false"/>
          <w:i w:val="false"/>
          <w:color w:val="000000"/>
          <w:sz w:val="22"/>
        </w:rPr>
        <w:t> </w:t>
      </w:r>
      <w:r>
        <w:rPr>
          <w:rFonts w:ascii="Times New Roman" w:hAnsi="Times New Roman"/>
          <w:b w:val="false"/>
          <w:i/>
          <w:color w:val="000000"/>
          <w:sz w:val="22"/>
        </w:rPr>
        <w:t xml:space="preserve">Loop size. </w:t>
      </w:r>
      <w:r>
        <w:rPr>
          <w:rFonts w:ascii="Times New Roman" w:hAnsi="Times New Roman"/>
          <w:b w:val="false"/>
          <w:i w:val="false"/>
          <w:color w:val="000000"/>
          <w:sz w:val="22"/>
        </w:rPr>
        <w:t>No snare when set will have a loop larger than 8 inches in horizontal measurement except for snares set with at least one-half of the loop underwater or snares set on private land other than roadsides within 30 yards of a pond, lake, drainage ditch, creek, stream or river shall not have a loop larger than 11 inches in horizontal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110.2(3)</w:t>
      </w:r>
      <w:r>
        <w:rPr>
          <w:rFonts w:ascii="Times New Roman" w:hAnsi="Times New Roman"/>
          <w:b w:val="false"/>
          <w:i w:val="false"/>
          <w:color w:val="000000"/>
          <w:sz w:val="22"/>
        </w:rPr>
        <w:t> </w:t>
      </w:r>
      <w:r>
        <w:rPr>
          <w:rFonts w:ascii="Times New Roman" w:hAnsi="Times New Roman"/>
          <w:b w:val="false"/>
          <w:i/>
          <w:color w:val="000000"/>
          <w:sz w:val="22"/>
        </w:rPr>
        <w:t xml:space="preserve">Deer locks. </w:t>
      </w:r>
      <w:r>
        <w:rPr>
          <w:rFonts w:ascii="Times New Roman" w:hAnsi="Times New Roman"/>
          <w:b w:val="false"/>
          <w:i w:val="false"/>
          <w:color w:val="000000"/>
          <w:sz w:val="22"/>
        </w:rPr>
        <w:t>All snares must have a functional deer lock that will not allow the snare loop to close smaller than 2½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w:t>
      </w:r>
      <w:r>
        <w:rPr>
          <w:rFonts w:ascii="Times New Roman" w:hAnsi="Times New Roman"/>
          <w:b w:val="false"/>
          <w:i w:val="false"/>
          <w:color w:val="000000"/>
          <w:sz w:val="22"/>
        </w:rPr>
        <w:t> </w:t>
      </w:r>
      <w:r>
        <w:rPr>
          <w:rFonts w:ascii="Times New Roman" w:hAnsi="Times New Roman"/>
          <w:b w:val="false"/>
          <w:i/>
          <w:color w:val="000000"/>
          <w:sz w:val="22"/>
        </w:rPr>
        <w:t xml:space="preserve">Mechanical snares. </w:t>
      </w:r>
      <w:r>
        <w:rPr>
          <w:rFonts w:ascii="Times New Roman" w:hAnsi="Times New Roman"/>
          <w:b w:val="false"/>
          <w:i w:val="false"/>
          <w:color w:val="000000"/>
          <w:sz w:val="22"/>
        </w:rPr>
        <w:t>It shall be illegal to set any mechanically powered snare designed to capture an animal by the neck or body unless such snares are placed completely underwater.</w:t>
      </w:r>
    </w:p>
    <w:p>
      <w:pPr>
        <w:spacing w:before="210" w:after="0"/>
        <w:ind w:left="120"/>
        <w:jc w:val="both"/>
      </w:pPr>
      <w:r>
        <w:rPr>
          <w:rFonts w:ascii="Times New Roman" w:hAnsi="Times New Roman"/>
          <w:b/>
          <w:i w:val="false"/>
          <w:color w:val="000000"/>
          <w:sz w:val="22"/>
        </w:rPr>
        <w:t>571—110.3</w:t>
      </w:r>
      <w:r>
        <w:rPr>
          <w:rFonts w:ascii="Times New Roman" w:hAnsi="Times New Roman"/>
          <w:b/>
          <w:i w:val="false"/>
          <w:color w:val="000000"/>
          <w:sz w:val="22"/>
        </w:rPr>
        <w:t xml:space="preserve">(481A) </w:t>
      </w:r>
      <w:r>
        <w:rPr>
          <w:rFonts w:ascii="Times New Roman" w:hAnsi="Times New Roman"/>
          <w:b/>
          <w:i w:val="false"/>
          <w:color w:val="000000"/>
          <w:sz w:val="22"/>
        </w:rPr>
        <w:t xml:space="preserve">Body-gripping and conibear type traps. </w:t>
      </w:r>
      <w:r>
        <w:rPr>
          <w:rFonts w:ascii="Times New Roman" w:hAnsi="Times New Roman"/>
          <w:b w:val="false"/>
          <w:i w:val="false"/>
          <w:color w:val="000000"/>
          <w:sz w:val="22"/>
        </w:rPr>
        <w:t>No person shall set or maintain any body-gripping or conibear type trap on any public road right-of-way within 5 feet of any fence.</w:t>
      </w:r>
    </w:p>
    <w:p>
      <w:pPr>
        <w:spacing w:before="210" w:after="0"/>
        <w:ind w:left="120"/>
        <w:jc w:val="both"/>
      </w:pPr>
      <w:r>
        <w:rPr>
          <w:rFonts w:ascii="Times New Roman" w:hAnsi="Times New Roman"/>
          <w:b/>
          <w:i w:val="false"/>
          <w:color w:val="000000"/>
          <w:sz w:val="22"/>
        </w:rPr>
        <w:t>571—110.4</w:t>
      </w:r>
      <w:r>
        <w:rPr>
          <w:rFonts w:ascii="Times New Roman" w:hAnsi="Times New Roman"/>
          <w:b/>
          <w:i w:val="false"/>
          <w:color w:val="000000"/>
          <w:sz w:val="22"/>
        </w:rPr>
        <w:t xml:space="preserve">(481A) </w:t>
      </w:r>
      <w:r>
        <w:rPr>
          <w:rFonts w:ascii="Times New Roman" w:hAnsi="Times New Roman"/>
          <w:b/>
          <w:i w:val="false"/>
          <w:color w:val="000000"/>
          <w:sz w:val="22"/>
        </w:rPr>
        <w:t xml:space="preserve">Foothold and leghold traps. </w:t>
      </w:r>
      <w:r>
        <w:rPr>
          <w:rFonts w:ascii="Times New Roman" w:hAnsi="Times New Roman"/>
          <w:b w:val="false"/>
          <w:i w:val="false"/>
          <w:color w:val="000000"/>
          <w:sz w:val="22"/>
        </w:rPr>
        <w:t>No person shall set or maintain on land any foothold or leghold trap with metal-serrated jaws, metal-toothed jaws or a spread inside the set jaws of greater than 7 inches.</w:t>
      </w:r>
    </w:p>
    <w:p>
      <w:pPr>
        <w:spacing w:before="210" w:after="0"/>
        <w:ind w:left="120"/>
        <w:jc w:val="both"/>
      </w:pPr>
      <w:r>
        <w:rPr>
          <w:rFonts w:ascii="Times New Roman" w:hAnsi="Times New Roman"/>
          <w:b/>
          <w:i w:val="false"/>
          <w:color w:val="000000"/>
          <w:sz w:val="22"/>
        </w:rPr>
        <w:t>571—110.5</w:t>
      </w:r>
      <w:r>
        <w:rPr>
          <w:rFonts w:ascii="Times New Roman" w:hAnsi="Times New Roman"/>
          <w:b/>
          <w:i w:val="false"/>
          <w:color w:val="000000"/>
          <w:sz w:val="22"/>
        </w:rPr>
        <w:t xml:space="preserve">(481A) </w:t>
      </w:r>
      <w:r>
        <w:rPr>
          <w:rFonts w:ascii="Times New Roman" w:hAnsi="Times New Roman"/>
          <w:b/>
          <w:i w:val="false"/>
          <w:color w:val="000000"/>
          <w:sz w:val="22"/>
        </w:rPr>
        <w:t xml:space="preserve">Removal of animals from traps and snares. </w:t>
      </w:r>
      <w:r>
        <w:rPr>
          <w:rFonts w:ascii="Times New Roman" w:hAnsi="Times New Roman"/>
          <w:b w:val="false"/>
          <w:i w:val="false"/>
          <w:color w:val="000000"/>
          <w:sz w:val="22"/>
        </w:rPr>
        <w:t>All animals or animal carcasses caught in any type of trap or snare, except those which are placed entirely underwater and designed to drown the animal immediately, must be removed from the trap or snare by the trap or snare user immediately upon discovery and within 24 hours of the time the animal is caught.</w:t>
      </w:r>
    </w:p>
    <w:p>
      <w:pPr>
        <w:spacing w:before="210" w:after="0"/>
        <w:ind w:left="120"/>
        <w:jc w:val="both"/>
      </w:pPr>
      <w:r>
        <w:rPr>
          <w:rFonts w:ascii="Times New Roman" w:hAnsi="Times New Roman"/>
          <w:b/>
          <w:i w:val="false"/>
          <w:color w:val="000000"/>
          <w:sz w:val="22"/>
        </w:rPr>
        <w:t>571—110.6</w:t>
      </w:r>
      <w:r>
        <w:rPr>
          <w:rFonts w:ascii="Times New Roman" w:hAnsi="Times New Roman"/>
          <w:b/>
          <w:i w:val="false"/>
          <w:color w:val="000000"/>
          <w:sz w:val="22"/>
        </w:rPr>
        <w:t xml:space="preserve">(481A) </w:t>
      </w:r>
      <w:r>
        <w:rPr>
          <w:rFonts w:ascii="Times New Roman" w:hAnsi="Times New Roman"/>
          <w:b/>
          <w:i w:val="false"/>
          <w:color w:val="000000"/>
          <w:sz w:val="22"/>
        </w:rPr>
        <w:t xml:space="preserve">Trap tag requirements. </w:t>
      </w:r>
      <w:r>
        <w:rPr>
          <w:rFonts w:ascii="Times New Roman" w:hAnsi="Times New Roman"/>
          <w:b w:val="false"/>
          <w:i w:val="false"/>
          <w:color w:val="000000"/>
          <w:sz w:val="22"/>
        </w:rPr>
        <w:t>All traps and snares, whether set or not, possessed by a person who can reasonably be presumed to be trapping shall have a metal tag attached plainly labeled with the user’s name and address.</w:t>
      </w:r>
    </w:p>
    <w:p>
      <w:pPr>
        <w:spacing w:before="210" w:after="0"/>
        <w:ind w:left="120"/>
        <w:jc w:val="both"/>
      </w:pPr>
      <w:r>
        <w:rPr>
          <w:rFonts w:ascii="Times New Roman" w:hAnsi="Times New Roman"/>
          <w:b/>
          <w:i w:val="false"/>
          <w:color w:val="000000"/>
          <w:sz w:val="22"/>
        </w:rPr>
        <w:t>571—110.7</w:t>
      </w:r>
      <w:r>
        <w:rPr>
          <w:rFonts w:ascii="Times New Roman" w:hAnsi="Times New Roman"/>
          <w:b/>
          <w:i w:val="false"/>
          <w:color w:val="000000"/>
          <w:sz w:val="22"/>
        </w:rPr>
        <w:t xml:space="preserve">(481A) </w:t>
      </w:r>
      <w:r>
        <w:rPr>
          <w:rFonts w:ascii="Times New Roman" w:hAnsi="Times New Roman"/>
          <w:b/>
          <w:i w:val="false"/>
          <w:color w:val="000000"/>
          <w:sz w:val="22"/>
        </w:rPr>
        <w:t xml:space="preserve">Colony traps. </w:t>
      </w:r>
      <w:r>
        <w:rPr>
          <w:rFonts w:ascii="Times New Roman" w:hAnsi="Times New Roman"/>
          <w:b w:val="false"/>
          <w:i w:val="false"/>
          <w:color w:val="000000"/>
          <w:sz w:val="22"/>
        </w:rPr>
        <w:t>All colony traps must be set entirely under water.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481A.92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9/5/85, Notice 7/3/85—published 9/25/85, effective 10/30/85]</w:t>
      </w:r>
    </w:p>
    <w:p>
      <w:pPr>
        <w:spacing w:before="0" w:after="0"/>
        <w:ind w:left="120"/>
        <w:jc w:val="center"/>
      </w:pPr>
      <w:r>
        <w:rPr>
          <w:rFonts w:ascii="Times New Roman" w:hAnsi="Times New Roman"/>
          <w:b w:val="false"/>
          <w:i w:val="false"/>
          <w:color w:val="000000"/>
          <w:sz w:val="21"/>
        </w:rPr>
        <w:t>[Filed 6/11/86, Notice 4/23/86—published 7/2/86, effective 8/6/86]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6/9/88, Notice 3/23/88—published 6/29/88, effective 8/29/88]</w:t>
      </w:r>
    </w:p>
    <w:p>
      <w:pPr>
        <w:spacing w:before="0" w:after="0"/>
        <w:ind w:left="120"/>
        <w:jc w:val="center"/>
      </w:pPr>
      <w:r>
        <w:rPr>
          <w:rFonts w:ascii="Times New Roman" w:hAnsi="Times New Roman"/>
          <w:b w:val="false"/>
          <w:i w:val="false"/>
          <w:color w:val="000000"/>
          <w:sz w:val="21"/>
        </w:rPr>
        <w:t>[Filed 8/17/90, Notice 6/27/90—published 9/5/90, effective 10/10/90]</w:t>
      </w:r>
    </w:p>
    <w:p>
      <w:pPr>
        <w:spacing w:before="0" w:after="0"/>
        <w:ind w:left="120"/>
        <w:jc w:val="center"/>
      </w:pPr>
      <w:r>
        <w:rPr>
          <w:rFonts w:ascii="Times New Roman" w:hAnsi="Times New Roman"/>
          <w:b w:val="false"/>
          <w:i w:val="false"/>
          <w:color w:val="000000"/>
          <w:sz w:val="21"/>
        </w:rPr>
        <w:t>[Filed 6/5/92, Notice 4/29/92—published 6/24/92, effective 7/29/92]</w:t>
      </w:r>
    </w:p>
    <w:p>
      <w:pPr>
        <w:spacing w:before="0" w:after="0"/>
        <w:ind w:left="120"/>
        <w:jc w:val="center"/>
      </w:pPr>
      <w:r>
        <w:rPr>
          <w:rFonts w:ascii="Times New Roman" w:hAnsi="Times New Roman"/>
          <w:b w:val="false"/>
          <w:i w:val="false"/>
          <w:color w:val="000000"/>
          <w:sz w:val="21"/>
        </w:rPr>
        <w:t>[Filed 5/7/93, Notice 3/31/93—published 5/26/93, effective 6/30/93]</w:t>
      </w:r>
    </w:p>
    <w:p>
      <w:pPr>
        <w:spacing w:before="0" w:after="0"/>
        <w:ind w:left="120"/>
        <w:jc w:val="center"/>
      </w:pPr>
      <w:r>
        <w:rPr>
          <w:rFonts w:ascii="Times New Roman" w:hAnsi="Times New Roman"/>
          <w:b w:val="false"/>
          <w:i w:val="false"/>
          <w:color w:val="000000"/>
          <w:sz w:val="21"/>
        </w:rPr>
        <w:t>[Filed 8/11/95, Notice 3/1/95—published 8/30/95, effective 10/4/95]</w:t>
      </w:r>
    </w:p>
    <w:p>
      <w:pPr>
        <w:spacing w:before="0" w:after="0"/>
        <w:ind w:left="120"/>
        <w:jc w:val="center"/>
      </w:pPr>
      <w:r>
        <w:rPr>
          <w:rFonts w:ascii="Times New Roman" w:hAnsi="Times New Roman"/>
          <w:b w:val="false"/>
          <w:i w:val="false"/>
          <w:color w:val="000000"/>
          <w:sz w:val="21"/>
        </w:rPr>
        <w:t>[Filed 11/12/99, Notice 10/6/99—published 12/1/99, effective 1/5/00]</w:t>
      </w:r>
    </w:p>
    <w:p>
      <w:pPr>
        <w:spacing w:before="0" w:after="0"/>
        <w:ind w:left="120"/>
        <w:jc w:val="center"/>
      </w:pPr>
      <w:r>
        <w:rPr>
          <w:rFonts w:ascii="Times New Roman" w:hAnsi="Times New Roman"/>
          <w:b w:val="false"/>
          <w:i w:val="false"/>
          <w:color w:val="000000"/>
          <w:sz w:val="21"/>
        </w:rPr>
        <w:t>[Filed ARC 7922B</w:t>
      </w:r>
      <w:r>
        <w:rPr>
          <w:rFonts w:ascii="Times New Roman" w:hAnsi="Times New Roman"/>
          <w:b w:val="false"/>
          <w:i w:val="false"/>
          <w:color w:val="000000"/>
          <w:sz w:val="21"/>
        </w:rPr>
        <w:t xml:space="preserve"> (Notice ARC 7692B, IAB 4/8/09)</w:t>
      </w:r>
      <w:r>
        <w:rPr>
          <w:rFonts w:ascii="Times New Roman" w:hAnsi="Times New Roman"/>
          <w:b w:val="false"/>
          <w:i w:val="false"/>
          <w:color w:val="000000"/>
          <w:sz w:val="21"/>
        </w:rPr>
        <w:t>, IAB 7/1/09, effective 8/5/09]</w:t>
      </w:r>
    </w:p>
    <w:p>
      <w:pPr>
        <w:pBdr>
          <w:bottom w:space="2"/>
        </w:pBdr>
        <w:spacing w:before="0" w:after="0"/>
        <w:ind w:left="120"/>
        <w:jc w:val="both"/>
      </w:pPr>
      <w:r>
        <w:rPr>
          <w:rFonts w:ascii="Times New Roman" w:hAnsi="Times New Roman"/>
          <w:b w:val="false"/>
          <w:i w:val="false"/>
          <w:color w:val="000000"/>
          <w:sz w:val="22"/>
        </w:rPr>
        <w:t xml:space="preserve">Effective date of Ch 114 delayed 70 days by the Administrative Rules Review Committee at its meeting held July 31, 1986. </w:t>
      </w:r>
      <w:r>
        <w:br/>
      </w:r>
      <w:r>
        <w:rPr>
          <w:rFonts w:ascii="Times New Roman" w:hAnsi="Times New Roman"/>
          <w:b w:val="false"/>
          <w:i w:val="false"/>
          <w:color w:val="000000"/>
          <w:sz w:val="22"/>
        </w:rPr>
        <w:t xml:space="preserve">Effective date delayed until the adjournment of the 1987 Session of the General Assembly pursuant to Iowa Code section </w:t>
      </w:r>
      <w:hyperlink r:id="rId7">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1986 Iowa Acts, Senate File 2175</w:t>
      </w:r>
      <w:r>
        <w:rPr>
          <w:rFonts w:ascii="Times New Roman" w:hAnsi="Times New Roman"/>
          <w:b w:val="false"/>
          <w:i w:val="false"/>
          <w:color w:val="000000"/>
          <w:sz w:val="22"/>
        </w:rPr>
        <w:t>, section 2039, by the Administrative Rules Review Committee at its meeting held August 21, 1986.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92.pdf" Type="http://schemas.openxmlformats.org/officeDocument/2006/relationships/hyperlink" Id="rId6"/>
    <Relationship TargetMode="External" Target="https://www.legis.iowa.gov/docs/ico/chapter/17A.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