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108</w:t>
      </w:r>
    </w:p>
    <w:p>
      <w:pPr>
        <w:spacing w:before="0" w:after="0"/>
        <w:ind w:left="120"/>
        <w:jc w:val="center"/>
      </w:pPr>
      <w:r>
        <w:rPr>
          <w:rFonts w:ascii="Times New Roman" w:hAnsi="Times New Roman"/>
          <w:b w:val="false"/>
          <w:i w:val="false"/>
          <w:color w:val="000000"/>
          <w:sz w:val="21"/>
        </w:rPr>
        <w:t>MINK, MUSKRAT, RACCOON, BADGER, OPOSSUM, WEASEL,</w:t>
      </w:r>
      <w:r>
        <w:br/>
      </w:r>
      <w:r>
        <w:rPr>
          <w:rFonts w:ascii="Times New Roman" w:hAnsi="Times New Roman"/>
          <w:b w:val="false"/>
          <w:i w:val="false"/>
          <w:color w:val="000000"/>
          <w:sz w:val="21"/>
        </w:rPr>
        <w:t>STRIPED SKUNK, FOX (RED AND GRAY), BEAVER, COYOTE, RIVER OTTER,</w:t>
      </w:r>
      <w:r>
        <w:br/>
      </w:r>
      <w:r>
        <w:rPr>
          <w:rFonts w:ascii="Times New Roman" w:hAnsi="Times New Roman"/>
          <w:b w:val="false"/>
          <w:i w:val="false"/>
          <w:color w:val="000000"/>
          <w:sz w:val="21"/>
        </w:rPr>
        <w:t>BOBCAT, GRAY (TIMBER) WOLF AND SPOTTED SKUNK SEASONS</w:t>
      </w:r>
    </w:p>
    <w:p>
      <w:pPr>
        <w:spacing w:before="0" w:after="0"/>
        <w:ind w:left="120"/>
        <w:jc w:val="center"/>
      </w:pPr>
      <w:r>
        <w:rPr>
          <w:rFonts w:ascii="Times New Roman" w:hAnsi="Times New Roman"/>
          <w:b w:val="false"/>
          <w:i w:val="false"/>
          <w:color w:val="000000"/>
          <w:sz w:val="14"/>
        </w:rPr>
        <w:t>[Prior to 12/31/86, Conservation Commission[290] Ch 104]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571—108.1</w:t>
      </w:r>
      <w:r>
        <w:rPr>
          <w:rFonts w:ascii="Times New Roman" w:hAnsi="Times New Roman"/>
          <w:b/>
          <w:i w:val="false"/>
          <w:color w:val="000000"/>
          <w:sz w:val="22"/>
        </w:rPr>
        <w:t xml:space="preserve">(481A) </w:t>
      </w:r>
      <w:r>
        <w:rPr>
          <w:rFonts w:ascii="Times New Roman" w:hAnsi="Times New Roman"/>
          <w:b/>
          <w:i w:val="false"/>
          <w:color w:val="000000"/>
          <w:sz w:val="22"/>
        </w:rPr>
        <w:t xml:space="preserve">Mink, muskrat and weasel. </w:t>
      </w:r>
      <w:r>
        <w:rPr>
          <w:rFonts w:ascii="Times New Roman" w:hAnsi="Times New Roman"/>
          <w:b w:val="false"/>
          <w:i w:val="false"/>
          <w:color w:val="000000"/>
          <w:sz w:val="22"/>
        </w:rPr>
        <w:t>Open season for the taking of mink, muskrat and weasel shall be from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first Saturday in November through February 28 of succeeding year. Entire state open. No bag or possession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108.1(1)</w:t>
      </w:r>
      <w:r>
        <w:rPr>
          <w:rFonts w:ascii="Times New Roman" w:hAnsi="Times New Roman"/>
          <w:b w:val="false"/>
          <w:i w:val="false"/>
          <w:color w:val="000000"/>
          <w:sz w:val="22"/>
        </w:rPr>
        <w:t> </w:t>
      </w:r>
      <w:r>
        <w:rPr>
          <w:rFonts w:ascii="Times New Roman" w:hAnsi="Times New Roman"/>
          <w:b w:val="false"/>
          <w:i/>
          <w:color w:val="000000"/>
          <w:sz w:val="22"/>
        </w:rPr>
        <w:t xml:space="preserve">Molesting or disturbing muskrat houses. </w:t>
      </w:r>
      <w:r>
        <w:rPr>
          <w:rFonts w:ascii="Times New Roman" w:hAnsi="Times New Roman"/>
          <w:b w:val="false"/>
          <w:i w:val="false"/>
          <w:color w:val="000000"/>
          <w:sz w:val="22"/>
        </w:rPr>
        <w:t xml:space="preserve">Any department of natural resources officer, natural resource biologist, or county conservation board director may permit trappers to molest or disturb muskrat houses on specific state or county game management areas as provided in Iowa Code section </w:t>
      </w:r>
      <w:hyperlink r:id="rId5">
        <w:r>
          <w:rPr>
            <w:rStyle w:val="Hyperlink"/>
            <w:rFonts w:ascii="Times New Roman" w:hAnsi="Times New Roman"/>
            <w:b w:val="false"/>
            <w:i w:val="false"/>
            <w:color w:val="000000"/>
            <w:sz w:val="22"/>
          </w:rPr>
          <w:t>481A.90</w:t>
        </w:r>
      </w:hyperlink>
      <w:r>
        <w:rPr>
          <w:rFonts w:ascii="Times New Roman" w:hAnsi="Times New Roman"/>
          <w:b w:val="false"/>
          <w:i w:val="false"/>
          <w:color w:val="000000"/>
          <w:sz w:val="22"/>
        </w:rPr>
        <w:t>, after finding that muskrats are causing excessive damage by destroying the vegetation essential to the welfare of a marsh and after so posting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w:t>
      </w:r>
      <w:r>
        <w:rPr>
          <w:rFonts w:ascii="Times New Roman" w:hAnsi="Times New Roman"/>
          <w:b w:val="false"/>
          <w:i w:val="false"/>
          <w:color w:val="000000"/>
          <w:sz w:val="22"/>
        </w:rPr>
        <w:t> </w:t>
      </w:r>
      <w:r>
        <w:rPr>
          <w:rFonts w:ascii="Times New Roman" w:hAnsi="Times New Roman"/>
          <w:b w:val="false"/>
          <w:i/>
          <w:color w:val="000000"/>
          <w:sz w:val="22"/>
        </w:rPr>
        <w:t xml:space="preserve">Game management areas. </w:t>
      </w:r>
      <w:r>
        <w:rPr>
          <w:rFonts w:ascii="Times New Roman" w:hAnsi="Times New Roman"/>
          <w:b w:val="false"/>
          <w:i w:val="false"/>
          <w:color w:val="000000"/>
          <w:sz w:val="22"/>
        </w:rPr>
        <w:t>Open season for taking muskrats on certain state game management areas, certain federal national wildlife refuges, and certain county conservation board areas, only where approved by the wildlife bureau and posted accordingly, shall be from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day after the regular muskrat trapping season ends until April 1. The use of leg-hold traps during this season is prohibited unless each trap is placed completely inside a muskrat house. No bag or possession limit.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7933B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7010C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571—108.2</w:t>
      </w:r>
      <w:r>
        <w:rPr>
          <w:rFonts w:ascii="Times New Roman" w:hAnsi="Times New Roman"/>
          <w:b/>
          <w:i w:val="false"/>
          <w:color w:val="000000"/>
          <w:sz w:val="22"/>
        </w:rPr>
        <w:t xml:space="preserve">(481A) </w:t>
      </w:r>
      <w:r>
        <w:rPr>
          <w:rFonts w:ascii="Times New Roman" w:hAnsi="Times New Roman"/>
          <w:b/>
          <w:i w:val="false"/>
          <w:color w:val="000000"/>
          <w:sz w:val="22"/>
        </w:rPr>
        <w:t xml:space="preserve">Badger, opossum and striped skunk. </w:t>
      </w:r>
      <w:r>
        <w:rPr>
          <w:rFonts w:ascii="Times New Roman" w:hAnsi="Times New Roman"/>
          <w:b w:val="false"/>
          <w:i w:val="false"/>
          <w:color w:val="000000"/>
          <w:sz w:val="22"/>
        </w:rPr>
        <w:t>Open season for the taking of badger, opossum, and striped skunk shall be from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first Saturday in November through February 28 of succeeding year. Entire state open. No bag or possession limit.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7010C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571—108.3</w:t>
      </w:r>
      <w:r>
        <w:rPr>
          <w:rFonts w:ascii="Times New Roman" w:hAnsi="Times New Roman"/>
          <w:b/>
          <w:i w:val="false"/>
          <w:color w:val="000000"/>
          <w:sz w:val="22"/>
        </w:rPr>
        <w:t xml:space="preserve">(481A) </w:t>
      </w:r>
      <w:r>
        <w:rPr>
          <w:rFonts w:ascii="Times New Roman" w:hAnsi="Times New Roman"/>
          <w:b/>
          <w:i w:val="false"/>
          <w:color w:val="000000"/>
          <w:sz w:val="22"/>
        </w:rPr>
        <w:t xml:space="preserve">Raccoon.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108.3(1)</w:t>
      </w:r>
      <w:r>
        <w:rPr>
          <w:rFonts w:ascii="Times New Roman" w:hAnsi="Times New Roman"/>
          <w:b w:val="false"/>
          <w:i w:val="false"/>
          <w:color w:val="000000"/>
          <w:sz w:val="22"/>
        </w:rPr>
        <w:t> </w:t>
      </w:r>
      <w:r>
        <w:rPr>
          <w:rFonts w:ascii="Times New Roman" w:hAnsi="Times New Roman"/>
          <w:b w:val="false"/>
          <w:i/>
          <w:color w:val="000000"/>
          <w:sz w:val="22"/>
        </w:rPr>
        <w:t xml:space="preserve">Hunting. </w:t>
      </w:r>
      <w:r>
        <w:rPr>
          <w:rFonts w:ascii="Times New Roman" w:hAnsi="Times New Roman"/>
          <w:b w:val="false"/>
          <w:i w:val="false"/>
          <w:color w:val="000000"/>
          <w:sz w:val="22"/>
        </w:rPr>
        <w:t>Continuous open season on private lands. Entire state open. No bag or possession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w:t>
      </w:r>
      <w:r>
        <w:rPr>
          <w:rFonts w:ascii="Times New Roman" w:hAnsi="Times New Roman"/>
          <w:b w:val="false"/>
          <w:i w:val="false"/>
          <w:color w:val="000000"/>
          <w:sz w:val="22"/>
        </w:rPr>
        <w:t> </w:t>
      </w:r>
      <w:r>
        <w:rPr>
          <w:rFonts w:ascii="Times New Roman" w:hAnsi="Times New Roman"/>
          <w:b w:val="false"/>
          <w:i/>
          <w:color w:val="000000"/>
          <w:sz w:val="22"/>
        </w:rPr>
        <w:t xml:space="preserve">Trapping. </w:t>
      </w:r>
      <w:r>
        <w:rPr>
          <w:rFonts w:ascii="Times New Roman" w:hAnsi="Times New Roman"/>
          <w:b w:val="false"/>
          <w:i w:val="false"/>
          <w:color w:val="000000"/>
          <w:sz w:val="22"/>
        </w:rPr>
        <w:t xml:space="preserve">Continuous open season using cage traps and dog-proof traps on private lands. Trapping limitations described in </w:t>
      </w:r>
      <w:hyperlink r:id="rId6">
        <w:r>
          <w:rPr>
            <w:rStyle w:val="Hyperlink"/>
            <w:rFonts w:ascii="Times New Roman" w:hAnsi="Times New Roman"/>
            <w:b w:val="false"/>
            <w:i w:val="false"/>
            <w:color w:val="000000"/>
            <w:sz w:val="22"/>
          </w:rPr>
          <w:t>571—Chapter 110</w:t>
        </w:r>
      </w:hyperlink>
      <w:r>
        <w:rPr>
          <w:rFonts w:ascii="Times New Roman" w:hAnsi="Times New Roman"/>
          <w:b w:val="false"/>
          <w:i w:val="false"/>
          <w:color w:val="000000"/>
          <w:sz w:val="22"/>
        </w:rPr>
        <w:t xml:space="preserve"> apply to trapping raccoons from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first Saturday in November through February 28 of succeeding year. Entire state open. No bag or possession limit.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7010C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571—108.4</w:t>
      </w:r>
      <w:r>
        <w:rPr>
          <w:rFonts w:ascii="Times New Roman" w:hAnsi="Times New Roman"/>
          <w:b/>
          <w:i w:val="false"/>
          <w:color w:val="000000"/>
          <w:sz w:val="22"/>
        </w:rPr>
        <w:t xml:space="preserve">(481A) </w:t>
      </w:r>
      <w:r>
        <w:rPr>
          <w:rFonts w:ascii="Times New Roman" w:hAnsi="Times New Roman"/>
          <w:b/>
          <w:i w:val="false"/>
          <w:color w:val="000000"/>
          <w:sz w:val="22"/>
        </w:rPr>
        <w:t xml:space="preserve">Red and gray fox. </w:t>
      </w:r>
      <w:r>
        <w:rPr>
          <w:rFonts w:ascii="Times New Roman" w:hAnsi="Times New Roman"/>
          <w:b w:val="false"/>
          <w:i w:val="false"/>
          <w:color w:val="000000"/>
          <w:sz w:val="22"/>
        </w:rPr>
        <w:t>Open season for the taking of red and gray fox shall be from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first Saturday in November through February 28 of succeeding year. Entire state open. No bag or possession limit.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7010C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571—108.5</w:t>
      </w:r>
      <w:r>
        <w:rPr>
          <w:rFonts w:ascii="Times New Roman" w:hAnsi="Times New Roman"/>
          <w:b/>
          <w:i w:val="false"/>
          <w:color w:val="000000"/>
          <w:sz w:val="22"/>
        </w:rPr>
        <w:t xml:space="preserve">(481A) </w:t>
      </w:r>
      <w:r>
        <w:rPr>
          <w:rFonts w:ascii="Times New Roman" w:hAnsi="Times New Roman"/>
          <w:b/>
          <w:i w:val="false"/>
          <w:color w:val="000000"/>
          <w:sz w:val="22"/>
        </w:rPr>
        <w:t xml:space="preserve">Beaver. </w:t>
      </w:r>
      <w:r>
        <w:rPr>
          <w:rFonts w:ascii="Times New Roman" w:hAnsi="Times New Roman"/>
          <w:b w:val="false"/>
          <w:i w:val="false"/>
          <w:color w:val="000000"/>
          <w:sz w:val="22"/>
        </w:rPr>
        <w:t>Open season for the taking of beaver shall be from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first Saturday in November through April 15 of succeeding year. No bag or possession limit.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9654B</w:t>
      </w:r>
      <w:r>
        <w:rPr>
          <w:rFonts w:ascii="Times New Roman" w:hAnsi="Times New Roman"/>
          <w:b w:val="false"/>
          <w:i w:val="false"/>
          <w:color w:val="000000"/>
          <w:sz w:val="16"/>
        </w:rPr>
        <w:t>, IAB 8/10/11, effective 9/14/11</w:t>
      </w:r>
      <w:r>
        <w:rPr>
          <w:rFonts w:ascii="Times New Roman" w:hAnsi="Times New Roman"/>
          <w:b w:val="false"/>
          <w:i w:val="false"/>
          <w:color w:val="000000"/>
          <w:sz w:val="16"/>
        </w:rPr>
        <w:t xml:space="preserve">; </w:t>
      </w:r>
      <w:r>
        <w:rPr>
          <w:rFonts w:ascii="Times New Roman" w:hAnsi="Times New Roman"/>
          <w:b/>
          <w:i w:val="false"/>
          <w:color w:val="000000"/>
          <w:sz w:val="16"/>
        </w:rPr>
        <w:t>ARC 7010C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571—108.6</w:t>
      </w:r>
      <w:r>
        <w:rPr>
          <w:rFonts w:ascii="Times New Roman" w:hAnsi="Times New Roman"/>
          <w:b/>
          <w:i w:val="false"/>
          <w:color w:val="000000"/>
          <w:sz w:val="22"/>
        </w:rPr>
        <w:t xml:space="preserve">(481A) </w:t>
      </w:r>
      <w:r>
        <w:rPr>
          <w:rFonts w:ascii="Times New Roman" w:hAnsi="Times New Roman"/>
          <w:b/>
          <w:i w:val="false"/>
          <w:color w:val="000000"/>
          <w:sz w:val="22"/>
        </w:rPr>
        <w:t xml:space="preserve">Coyote.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108.6(1)</w:t>
      </w:r>
      <w:r>
        <w:rPr>
          <w:rFonts w:ascii="Times New Roman" w:hAnsi="Times New Roman"/>
          <w:b w:val="false"/>
          <w:i w:val="false"/>
          <w:color w:val="000000"/>
          <w:sz w:val="22"/>
        </w:rPr>
        <w:t> </w:t>
      </w:r>
      <w:r>
        <w:rPr>
          <w:rFonts w:ascii="Times New Roman" w:hAnsi="Times New Roman"/>
          <w:b w:val="false"/>
          <w:i/>
          <w:color w:val="000000"/>
          <w:sz w:val="22"/>
        </w:rPr>
        <w:t xml:space="preserve">Hunting. </w:t>
      </w:r>
      <w:r>
        <w:rPr>
          <w:rFonts w:ascii="Times New Roman" w:hAnsi="Times New Roman"/>
          <w:b w:val="false"/>
          <w:i w:val="false"/>
          <w:color w:val="000000"/>
          <w:sz w:val="22"/>
        </w:rPr>
        <w:t>Continuous open season. Entire state open. No bag or possession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108.6(2)</w:t>
      </w:r>
      <w:r>
        <w:rPr>
          <w:rFonts w:ascii="Times New Roman" w:hAnsi="Times New Roman"/>
          <w:b w:val="false"/>
          <w:i w:val="false"/>
          <w:color w:val="000000"/>
          <w:sz w:val="22"/>
        </w:rPr>
        <w:t> </w:t>
      </w:r>
      <w:r>
        <w:rPr>
          <w:rFonts w:ascii="Times New Roman" w:hAnsi="Times New Roman"/>
          <w:b w:val="false"/>
          <w:i/>
          <w:color w:val="000000"/>
          <w:sz w:val="22"/>
        </w:rPr>
        <w:t xml:space="preserve">Trapping. </w:t>
      </w:r>
      <w:r>
        <w:rPr>
          <w:rFonts w:ascii="Times New Roman" w:hAnsi="Times New Roman"/>
          <w:b w:val="false"/>
          <w:i w:val="false"/>
          <w:color w:val="000000"/>
          <w:sz w:val="22"/>
        </w:rPr>
        <w:t>Open season for trapping coyote shall be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first Saturday in November through February 28 of succeeding year. Entire state open. No bag or possession limit. Any conservation officer or wildlife biologist may authorize a landowner, tenant or designee to trap coyotes causing damage outside the established trapping season dates.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7010C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571—108.7</w:t>
      </w:r>
      <w:r>
        <w:rPr>
          <w:rFonts w:ascii="Times New Roman" w:hAnsi="Times New Roman"/>
          <w:b/>
          <w:i w:val="false"/>
          <w:color w:val="000000"/>
          <w:sz w:val="22"/>
        </w:rPr>
        <w:t xml:space="preserve">(481A) </w:t>
      </w:r>
      <w:r>
        <w:rPr>
          <w:rFonts w:ascii="Times New Roman" w:hAnsi="Times New Roman"/>
          <w:b/>
          <w:i w:val="false"/>
          <w:color w:val="000000"/>
          <w:sz w:val="22"/>
        </w:rPr>
        <w:t xml:space="preserve">Gray (timber) wolf and spotted skunk. </w:t>
      </w:r>
      <w:r>
        <w:rPr>
          <w:rFonts w:ascii="Times New Roman" w:hAnsi="Times New Roman"/>
          <w:b w:val="false"/>
          <w:i w:val="false"/>
          <w:color w:val="000000"/>
          <w:sz w:val="22"/>
        </w:rPr>
        <w:t>Continuous closed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7010C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571—108.8</w:t>
      </w:r>
      <w:r>
        <w:rPr>
          <w:rFonts w:ascii="Times New Roman" w:hAnsi="Times New Roman"/>
          <w:b/>
          <w:i w:val="false"/>
          <w:color w:val="000000"/>
          <w:sz w:val="22"/>
        </w:rPr>
        <w:t xml:space="preserve">(481A) </w:t>
      </w:r>
      <w:r>
        <w:rPr>
          <w:rFonts w:ascii="Times New Roman" w:hAnsi="Times New Roman"/>
          <w:b/>
          <w:i w:val="false"/>
          <w:color w:val="000000"/>
          <w:sz w:val="22"/>
        </w:rPr>
        <w:t xml:space="preserve">River otter and bobcat.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108.8(1)</w:t>
      </w:r>
      <w:r>
        <w:rPr>
          <w:rFonts w:ascii="Times New Roman" w:hAnsi="Times New Roman"/>
          <w:b w:val="false"/>
          <w:i w:val="false"/>
          <w:color w:val="000000"/>
          <w:sz w:val="22"/>
        </w:rPr>
        <w:t> </w:t>
      </w:r>
      <w:r>
        <w:rPr>
          <w:rFonts w:ascii="Times New Roman" w:hAnsi="Times New Roman"/>
          <w:b w:val="false"/>
          <w:i/>
          <w:color w:val="000000"/>
          <w:sz w:val="22"/>
        </w:rPr>
        <w:t xml:space="preserve">License requirements. </w:t>
      </w:r>
      <w:r>
        <w:rPr>
          <w:rFonts w:ascii="Times New Roman" w:hAnsi="Times New Roman"/>
          <w:b w:val="false"/>
          <w:i w:val="false"/>
          <w:color w:val="000000"/>
          <w:sz w:val="22"/>
        </w:rPr>
        <w:t>Each person who takes river otters or bobcats shall have a valid fur harvester license and pay the habitat fee if normally required to have a license to hunt or trap.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108.8(2)</w:t>
      </w:r>
      <w:r>
        <w:rPr>
          <w:rFonts w:ascii="Times New Roman" w:hAnsi="Times New Roman"/>
          <w:b w:val="false"/>
          <w:i w:val="false"/>
          <w:color w:val="000000"/>
          <w:sz w:val="22"/>
        </w:rPr>
        <w:t> </w:t>
      </w:r>
      <w:r>
        <w:rPr>
          <w:rFonts w:ascii="Times New Roman" w:hAnsi="Times New Roman"/>
          <w:b w:val="false"/>
          <w:i/>
          <w:color w:val="000000"/>
          <w:sz w:val="22"/>
        </w:rPr>
        <w:t xml:space="preserve">Open area. </w:t>
      </w:r>
      <w:r>
        <w:rPr>
          <w:rFonts w:ascii="Times New Roman" w:hAnsi="Times New Roman"/>
          <w:b w:val="false"/>
          <w:i w:val="false"/>
          <w:color w:val="000000"/>
          <w:sz w:val="22"/>
        </w:rPr>
        <w:t>River otters may be taken statewide. Bobcats may be taken in the following counties: Adair, Adams, Appanoose, Audubon, Boone, Cass, Cedar, Cherokee, Clarke, Clinton, Crawford, Dallas, Davis, Decatur, Delaware, Des Moines, Fremont, Guthrie, Harrison, Henry, Iowa, Jackson, Jasper, Jefferson, Johnson, Jones, Keokuk, Lee, Louisa, Lucas, Lyon, Madison, Mahaska, Marion, Mills, Monona, Monroe, Montgomery, Muscatine, Page, Plymouth, Polk, Pottawattamie, Poweshiek, Ringgold, Scott, Shelby, Sioux, Taylor, Union, Van Buren, Wapello, Warren, Washington, Wayne, Webster, and Woodbury.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108.8(3)</w:t>
      </w:r>
      <w:r>
        <w:rPr>
          <w:rFonts w:ascii="Times New Roman" w:hAnsi="Times New Roman"/>
          <w:b w:val="false"/>
          <w:i w:val="false"/>
          <w:color w:val="000000"/>
          <w:sz w:val="22"/>
        </w:rPr>
        <w:t> </w:t>
      </w:r>
      <w:r>
        <w:rPr>
          <w:rFonts w:ascii="Times New Roman" w:hAnsi="Times New Roman"/>
          <w:b w:val="false"/>
          <w:i/>
          <w:color w:val="000000"/>
          <w:sz w:val="22"/>
        </w:rPr>
        <w:t xml:space="preserve">Seasonal bag limit.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seasonal bag limit for river otters is 3 river otters per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seasonal bag limit for bobcats is 1 bobcat per person in the following counties: Audubon, Boone, Cedar, Cherokee, Clinton, Crawford, Dallas, Delaware, Guthrie, Harrison, Iowa, Jackson, Jasper, Johnson, Jones, Lyon, Monona, Muscatine, Plymouth, Polk, Poweshiek, Scott, Shelby, Sioux, Webster, and Woodbury.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seasonal bag limit for bobcats is 3 bobcats per person in the following counties: Adair, Adams, Appanoose, Cass, Clarke, Davis, Decatur, Des Moines, Fremont, Henry, Jefferson, Keokuk, Lee, Louisa, Lucas, Madison, Mahaska, Marion, Mills, Monroe, Montgomery, Page, Pottawattamie, Ringgold, Taylor, Union, Van Buren, Wapello, Warren, Washington, and Wayne.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more than 3 bobcats total can be legally harvested by a fur harvester in a season. River otters or bobcats trapped in excess of the seasonal bag limit or in a closed area must be turned over to the department; the fur harvester shall not be penalized.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108.8(4)</w:t>
      </w:r>
      <w:r>
        <w:rPr>
          <w:rFonts w:ascii="Times New Roman" w:hAnsi="Times New Roman"/>
          <w:b w:val="false"/>
          <w:i w:val="false"/>
          <w:color w:val="000000"/>
          <w:sz w:val="22"/>
        </w:rPr>
        <w:t> </w:t>
      </w:r>
      <w:r>
        <w:rPr>
          <w:rFonts w:ascii="Times New Roman" w:hAnsi="Times New Roman"/>
          <w:b w:val="false"/>
          <w:i/>
          <w:color w:val="000000"/>
          <w:sz w:val="22"/>
        </w:rPr>
        <w:t xml:space="preserve">Season dates. </w:t>
      </w:r>
      <w:r>
        <w:rPr>
          <w:rFonts w:ascii="Times New Roman" w:hAnsi="Times New Roman"/>
          <w:b w:val="false"/>
          <w:i w:val="false"/>
          <w:color w:val="000000"/>
          <w:sz w:val="22"/>
        </w:rPr>
        <w:t>The season for taking river otters and bobcats opens on the first Saturday in November and closes on February 28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108.8(5)</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Anyone, including a landowner or tenant not required to have a fur harvester license, who takes a river otter or bobcat must report the harvest and arrange to receive a CITES tag from the officer or designated DNR employee within seven days of harvest. The river otter or bobcat shall be skinned and its lower jaw or skull turned over to the DNR conservation officer or designated DNR employee at the time the CITES tag is issued. If the specimen is to be kept whole for taxidermy purposes, a cut shall be made by the trapper between the gum line and eye so the CITES tag can be attached to the skin.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108.8(6)</w:t>
      </w:r>
      <w:r>
        <w:rPr>
          <w:rFonts w:ascii="Times New Roman" w:hAnsi="Times New Roman"/>
          <w:b w:val="false"/>
          <w:i w:val="false"/>
          <w:color w:val="000000"/>
          <w:sz w:val="22"/>
        </w:rPr>
        <w:t> </w:t>
      </w:r>
      <w:r>
        <w:rPr>
          <w:rFonts w:ascii="Times New Roman" w:hAnsi="Times New Roman"/>
          <w:b w:val="false"/>
          <w:i/>
          <w:color w:val="000000"/>
          <w:sz w:val="22"/>
        </w:rPr>
        <w:t xml:space="preserve">Tagging requirements. </w:t>
      </w:r>
      <w:r>
        <w:rPr>
          <w:rFonts w:ascii="Times New Roman" w:hAnsi="Times New Roman"/>
          <w:b w:val="false"/>
          <w:i w:val="false"/>
          <w:color w:val="000000"/>
          <w:sz w:val="22"/>
        </w:rPr>
        <w:t>Every river otter or bobcat that may legally be kept must have a CITES tag attached. Tags will be supplied by the conservation officer or designated DNR employee. The tag must remain with the pelt until the pelt is sold or used for other purposes that render it no longer available for sale. Persons displaying river otters or bobcats as taxidermy mounts or as other decorative items must keep the tags in their possession as proof of legal harvest.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7933B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8889B</w:t>
      </w:r>
      <w:r>
        <w:rPr>
          <w:rFonts w:ascii="Times New Roman" w:hAnsi="Times New Roman"/>
          <w:b w:val="false"/>
          <w:i w:val="false"/>
          <w:color w:val="000000"/>
          <w:sz w:val="16"/>
        </w:rPr>
        <w:t>, IAB 6/30/10, effective 8/18/10</w:t>
      </w:r>
      <w:r>
        <w:rPr>
          <w:rFonts w:ascii="Times New Roman" w:hAnsi="Times New Roman"/>
          <w:b w:val="false"/>
          <w:i w:val="false"/>
          <w:color w:val="000000"/>
          <w:sz w:val="16"/>
        </w:rPr>
        <w:t xml:space="preserve">; </w:t>
      </w:r>
      <w:r>
        <w:rPr>
          <w:rFonts w:ascii="Times New Roman" w:hAnsi="Times New Roman"/>
          <w:b/>
          <w:i w:val="false"/>
          <w:color w:val="000000"/>
          <w:sz w:val="16"/>
        </w:rPr>
        <w:t>ARC 9654B</w:t>
      </w:r>
      <w:r>
        <w:rPr>
          <w:rFonts w:ascii="Times New Roman" w:hAnsi="Times New Roman"/>
          <w:b w:val="false"/>
          <w:i w:val="false"/>
          <w:color w:val="000000"/>
          <w:sz w:val="16"/>
        </w:rPr>
        <w:t>, IAB 8/10/11, effective 9/14/11</w:t>
      </w:r>
      <w:r>
        <w:rPr>
          <w:rFonts w:ascii="Times New Roman" w:hAnsi="Times New Roman"/>
          <w:b w:val="false"/>
          <w:i w:val="false"/>
          <w:color w:val="000000"/>
          <w:sz w:val="16"/>
        </w:rPr>
        <w:t xml:space="preserve">; </w:t>
      </w:r>
      <w:r>
        <w:rPr>
          <w:rFonts w:ascii="Times New Roman" w:hAnsi="Times New Roman"/>
          <w:b/>
          <w:i w:val="false"/>
          <w:color w:val="000000"/>
          <w:sz w:val="16"/>
        </w:rPr>
        <w:t>ARC 0188C</w:t>
      </w:r>
      <w:r>
        <w:rPr>
          <w:rFonts w:ascii="Times New Roman" w:hAnsi="Times New Roman"/>
          <w:b w:val="false"/>
          <w:i w:val="false"/>
          <w:color w:val="000000"/>
          <w:sz w:val="16"/>
        </w:rPr>
        <w:t>, IAB 7/11/12, effective 8/15/12</w:t>
      </w:r>
      <w:r>
        <w:rPr>
          <w:rFonts w:ascii="Times New Roman" w:hAnsi="Times New Roman"/>
          <w:b w:val="false"/>
          <w:i w:val="false"/>
          <w:color w:val="000000"/>
          <w:sz w:val="16"/>
        </w:rPr>
        <w:t xml:space="preserve">; </w:t>
      </w:r>
      <w:r>
        <w:rPr>
          <w:rFonts w:ascii="Times New Roman" w:hAnsi="Times New Roman"/>
          <w:b/>
          <w:i w:val="false"/>
          <w:color w:val="000000"/>
          <w:sz w:val="16"/>
        </w:rPr>
        <w:t>ARC 0831C</w:t>
      </w:r>
      <w:r>
        <w:rPr>
          <w:rFonts w:ascii="Times New Roman" w:hAnsi="Times New Roman"/>
          <w:b w:val="false"/>
          <w:i w:val="false"/>
          <w:color w:val="000000"/>
          <w:sz w:val="16"/>
        </w:rPr>
        <w:t>, IAB 7/10/13, effective 8/14/13</w:t>
      </w:r>
      <w:r>
        <w:rPr>
          <w:rFonts w:ascii="Times New Roman" w:hAnsi="Times New Roman"/>
          <w:b w:val="false"/>
          <w:i w:val="false"/>
          <w:color w:val="000000"/>
          <w:sz w:val="16"/>
        </w:rPr>
        <w:t xml:space="preserve">; </w:t>
      </w:r>
      <w:r>
        <w:rPr>
          <w:rFonts w:ascii="Times New Roman" w:hAnsi="Times New Roman"/>
          <w:b/>
          <w:i w:val="false"/>
          <w:color w:val="000000"/>
          <w:sz w:val="16"/>
        </w:rPr>
        <w:t>ARC 3799C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4530C</w:t>
      </w:r>
      <w:r>
        <w:rPr>
          <w:rFonts w:ascii="Times New Roman" w:hAnsi="Times New Roman"/>
          <w:b w:val="false"/>
          <w:i w:val="false"/>
          <w:color w:val="000000"/>
          <w:sz w:val="16"/>
        </w:rPr>
        <w:t>, IAB 7/3/19, effective 8/7/19</w:t>
      </w:r>
      <w:r>
        <w:rPr>
          <w:rFonts w:ascii="Times New Roman" w:hAnsi="Times New Roman"/>
          <w:b w:val="false"/>
          <w:i w:val="false"/>
          <w:color w:val="000000"/>
          <w:sz w:val="16"/>
        </w:rPr>
        <w:t xml:space="preserve">; </w:t>
      </w:r>
      <w:r>
        <w:rPr>
          <w:rFonts w:ascii="Times New Roman" w:hAnsi="Times New Roman"/>
          <w:b/>
          <w:i w:val="false"/>
          <w:color w:val="000000"/>
          <w:sz w:val="16"/>
        </w:rPr>
        <w:t>ARC 5067C</w:t>
      </w:r>
      <w:r>
        <w:rPr>
          <w:rFonts w:ascii="Times New Roman" w:hAnsi="Times New Roman"/>
          <w:b w:val="false"/>
          <w:i w:val="false"/>
          <w:color w:val="000000"/>
          <w:sz w:val="16"/>
        </w:rPr>
        <w:t>, IAB 7/1/20, effective 8/5/20</w:t>
      </w:r>
      <w:r>
        <w:rPr>
          <w:rFonts w:ascii="Times New Roman" w:hAnsi="Times New Roman"/>
          <w:b w:val="false"/>
          <w:i w:val="false"/>
          <w:color w:val="000000"/>
          <w:sz w:val="16"/>
        </w:rPr>
        <w:t xml:space="preserve">; </w:t>
      </w:r>
      <w:r>
        <w:rPr>
          <w:rFonts w:ascii="Times New Roman" w:hAnsi="Times New Roman"/>
          <w:b/>
          <w:i w:val="false"/>
          <w:color w:val="000000"/>
          <w:sz w:val="16"/>
        </w:rPr>
        <w:t>ARC 5681C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i w:val="false"/>
          <w:color w:val="000000"/>
          <w:sz w:val="16"/>
        </w:rPr>
        <w:t>ARC 7010C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571—108.9</w:t>
      </w:r>
      <w:r>
        <w:rPr>
          <w:rFonts w:ascii="Times New Roman" w:hAnsi="Times New Roman"/>
          <w:b/>
          <w:i w:val="false"/>
          <w:color w:val="000000"/>
          <w:sz w:val="22"/>
        </w:rPr>
        <w:t xml:space="preserve">(481A) </w:t>
      </w:r>
      <w:r>
        <w:rPr>
          <w:rFonts w:ascii="Times New Roman" w:hAnsi="Times New Roman"/>
          <w:b/>
          <w:i w:val="false"/>
          <w:color w:val="000000"/>
          <w:sz w:val="22"/>
        </w:rPr>
        <w:t xml:space="preserve">Accidental capture of a river otter or bobcat during a closed season. </w:t>
      </w:r>
      <w:r>
        <w:rPr>
          <w:rFonts w:ascii="Times New Roman" w:hAnsi="Times New Roman"/>
          <w:b w:val="false"/>
          <w:i w:val="false"/>
          <w:color w:val="000000"/>
          <w:sz w:val="22"/>
        </w:rPr>
        <w:t>A person who accidentally captures a river otter or bobcat during a closed season or in a closed area or after the person’s individual bag limit has been reached shall not be penalized provided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river otter or bobcat is captured during a legal trapping season or as part of a legal depredation control process;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conservation officer is contacted within 24 hours and the river otter or bobcat and all parts thereof are turned over to a conservation officer as soon as practical.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7010C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571—108.10</w:t>
      </w:r>
      <w:r>
        <w:rPr>
          <w:rFonts w:ascii="Times New Roman" w:hAnsi="Times New Roman"/>
          <w:b/>
          <w:i w:val="false"/>
          <w:color w:val="000000"/>
          <w:sz w:val="22"/>
        </w:rPr>
        <w:t xml:space="preserve">(481A) </w:t>
      </w:r>
      <w:r>
        <w:rPr>
          <w:rFonts w:ascii="Times New Roman" w:hAnsi="Times New Roman"/>
          <w:b/>
          <w:i w:val="false"/>
          <w:color w:val="000000"/>
          <w:sz w:val="22"/>
        </w:rPr>
        <w:t xml:space="preserve">Trapping restrictions. </w:t>
      </w:r>
      <w:r>
        <w:rPr>
          <w:rFonts w:ascii="Times New Roman" w:hAnsi="Times New Roman"/>
          <w:b w:val="false"/>
          <w:i w:val="false"/>
          <w:color w:val="000000"/>
          <w:sz w:val="22"/>
        </w:rPr>
        <w:t>Trapping for all furbearers will be restricted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108.10(1)</w:t>
      </w:r>
      <w:r>
        <w:rPr>
          <w:rFonts w:ascii="Times New Roman" w:hAnsi="Times New Roman"/>
          <w:b w:val="false"/>
          <w:i w:val="false"/>
          <w:color w:val="000000"/>
          <w:sz w:val="22"/>
        </w:rPr>
        <w:t> </w:t>
      </w:r>
      <w:r>
        <w:rPr>
          <w:rFonts w:ascii="Times New Roman" w:hAnsi="Times New Roman"/>
          <w:b w:val="false"/>
          <w:i/>
          <w:color w:val="000000"/>
          <w:sz w:val="22"/>
        </w:rPr>
        <w:t xml:space="preserve">Exposed bait. </w:t>
      </w:r>
      <w:r>
        <w:rPr>
          <w:rFonts w:ascii="Times New Roman" w:hAnsi="Times New Roman"/>
          <w:b w:val="false"/>
          <w:i w:val="false"/>
          <w:color w:val="000000"/>
          <w:sz w:val="22"/>
        </w:rPr>
        <w:t>No person shall set or maintain any leghold, body-clasping trap, or snare within 20 feet of exposed bait on land anywhere in the state or over water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Mississippi River corridor—Allamakee, Clayton, Dubuque, Jackson, Clinton, Scott, Muscatine, Louisa, Des Moines and Lee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Missouri River corridor—Those portions of Woodbury, Monona, Harrison, Pottawattamie, Mills and Fremont Counties west of Interstate 29.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 Moines River corridor—Boone, Dallas, Polk, Marion, Mahaska, Wapello and Van Buren Counties.</w:t>
      </w:r>
    </w:p>
    <w:p>
      <w:pPr>
        <w:spacing w:before="0" w:after="0"/>
        <w:ind w:left="120"/>
        <w:jc w:val="both"/>
      </w:pPr>
      <w:r>
        <w:rPr>
          <w:rFonts w:ascii="Times New Roman" w:hAnsi="Times New Roman"/>
          <w:b w:val="false"/>
          <w:i w:val="false"/>
          <w:color w:val="000000"/>
          <w:sz w:val="22"/>
        </w:rPr>
        <w:t>Exposed bait means meat or viscera or any animal, bird, fish, amphibian, or reptile with or without skin, hide, or feathers visible to soaring birds.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108.10(2)</w:t>
      </w:r>
      <w:r>
        <w:rPr>
          <w:rFonts w:ascii="Times New Roman" w:hAnsi="Times New Roman"/>
          <w:b w:val="false"/>
          <w:i w:val="false"/>
          <w:color w:val="000000"/>
          <w:sz w:val="22"/>
        </w:rPr>
        <w:t> </w:t>
      </w:r>
      <w:r>
        <w:rPr>
          <w:rFonts w:ascii="Times New Roman" w:hAnsi="Times New Roman"/>
          <w:b w:val="false"/>
          <w:i/>
          <w:color w:val="000000"/>
          <w:sz w:val="22"/>
        </w:rPr>
        <w:t xml:space="preserve">Trapping near beaver lodges and dens.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7/16/08</w:t>
      </w:r>
      <w:r>
        <w:rPr>
          <w:rFonts w:ascii="Times New Roman" w:hAnsi="Times New Roman"/>
          <w:b w:val="false"/>
          <w:i w:val="false"/>
          <w:color w:val="000000"/>
          <w:sz w:val="22"/>
        </w:rPr>
        <w:t>, effective 8/20/08.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7010C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 see Delay note at end of chapter]</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481A.6</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481A.87</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481A.90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These rules are based on the best biological data available as determined by research conducted by the department of natural resources.</w:t>
      </w:r>
    </w:p>
    <w:p>
      <w:pPr>
        <w:spacing w:before="0" w:after="0"/>
        <w:ind w:left="120"/>
        <w:jc w:val="center"/>
      </w:pPr>
      <w:r>
        <w:rPr>
          <w:rFonts w:ascii="Times New Roman" w:hAnsi="Times New Roman"/>
          <w:b w:val="false"/>
          <w:i w:val="false"/>
          <w:color w:val="000000"/>
          <w:sz w:val="21"/>
        </w:rPr>
        <w:t>[Filed emergency 6/11/76—published 6/28/76, effective 6/11/76]</w:t>
      </w:r>
    </w:p>
    <w:p>
      <w:pPr>
        <w:spacing w:before="0" w:after="0"/>
        <w:ind w:left="120"/>
        <w:jc w:val="center"/>
      </w:pPr>
      <w:r>
        <w:rPr>
          <w:rFonts w:ascii="Times New Roman" w:hAnsi="Times New Roman"/>
          <w:b w:val="false"/>
          <w:i w:val="false"/>
          <w:color w:val="000000"/>
          <w:sz w:val="21"/>
        </w:rPr>
        <w:t>[Filed emergency 7/20/77—published 8/10/77, effective 9/1/77]</w:t>
      </w:r>
    </w:p>
    <w:p>
      <w:pPr>
        <w:spacing w:before="0" w:after="0"/>
        <w:ind w:left="120"/>
        <w:jc w:val="center"/>
      </w:pPr>
      <w:r>
        <w:rPr>
          <w:rFonts w:ascii="Times New Roman" w:hAnsi="Times New Roman"/>
          <w:b w:val="false"/>
          <w:i w:val="false"/>
          <w:color w:val="000000"/>
          <w:sz w:val="21"/>
        </w:rPr>
        <w:t>[Filed emergency 9/1/77—published 9/21/77, effective 10/15/77]</w:t>
      </w:r>
    </w:p>
    <w:p>
      <w:pPr>
        <w:spacing w:before="0" w:after="0"/>
        <w:ind w:left="120"/>
        <w:jc w:val="center"/>
      </w:pPr>
      <w:r>
        <w:rPr>
          <w:rFonts w:ascii="Times New Roman" w:hAnsi="Times New Roman"/>
          <w:b w:val="false"/>
          <w:i w:val="false"/>
          <w:color w:val="000000"/>
          <w:sz w:val="21"/>
        </w:rPr>
        <w:t>[Filed 6/28/78, Notice 3/8/78—published 7/26/78, effective 8/30/78]</w:t>
      </w:r>
    </w:p>
    <w:p>
      <w:pPr>
        <w:spacing w:before="0" w:after="0"/>
        <w:ind w:left="120"/>
        <w:jc w:val="center"/>
      </w:pPr>
      <w:r>
        <w:rPr>
          <w:rFonts w:ascii="Times New Roman" w:hAnsi="Times New Roman"/>
          <w:b w:val="false"/>
          <w:i w:val="false"/>
          <w:color w:val="000000"/>
          <w:sz w:val="21"/>
        </w:rPr>
        <w:t>[Filed emergency 8/9/78—published 9/6/78, effective 8/9/78]</w:t>
      </w:r>
    </w:p>
    <w:p>
      <w:pPr>
        <w:spacing w:before="0" w:after="0"/>
        <w:ind w:left="120"/>
        <w:jc w:val="center"/>
      </w:pPr>
      <w:r>
        <w:rPr>
          <w:rFonts w:ascii="Times New Roman" w:hAnsi="Times New Roman"/>
          <w:b w:val="false"/>
          <w:i w:val="false"/>
          <w:color w:val="000000"/>
          <w:sz w:val="21"/>
        </w:rPr>
        <w:t>[Filed 7/5/79, Notice 3/7/79—published 7/25/79, effective 8/29/79]</w:t>
      </w:r>
    </w:p>
    <w:p>
      <w:pPr>
        <w:spacing w:before="0" w:after="0"/>
        <w:ind w:left="120"/>
        <w:jc w:val="center"/>
      </w:pPr>
      <w:r>
        <w:rPr>
          <w:rFonts w:ascii="Times New Roman" w:hAnsi="Times New Roman"/>
          <w:b w:val="false"/>
          <w:i w:val="false"/>
          <w:color w:val="000000"/>
          <w:sz w:val="21"/>
        </w:rPr>
        <w:t>[Filed 7/2/80, Notice 3/5/80—published 7/23/80, effective 8/27/80]</w:t>
      </w:r>
    </w:p>
    <w:p>
      <w:pPr>
        <w:spacing w:before="0" w:after="0"/>
        <w:ind w:left="120"/>
        <w:jc w:val="center"/>
      </w:pPr>
      <w:r>
        <w:rPr>
          <w:rFonts w:ascii="Times New Roman" w:hAnsi="Times New Roman"/>
          <w:b w:val="false"/>
          <w:i w:val="false"/>
          <w:color w:val="000000"/>
          <w:sz w:val="21"/>
        </w:rPr>
        <w:t>[Filed 7/9/81, Notice 3/4/81—published 8/5/81, effective 9/9/81]</w:t>
      </w:r>
    </w:p>
    <w:p>
      <w:pPr>
        <w:spacing w:before="0" w:after="0"/>
        <w:ind w:left="120"/>
        <w:jc w:val="center"/>
      </w:pPr>
      <w:r>
        <w:rPr>
          <w:rFonts w:ascii="Times New Roman" w:hAnsi="Times New Roman"/>
          <w:b w:val="false"/>
          <w:i w:val="false"/>
          <w:color w:val="000000"/>
          <w:sz w:val="21"/>
        </w:rPr>
        <w:t>[Filed 6/3/82, Notice 3/3/82—published 6/23/82, effective 7/28/82]</w:t>
      </w:r>
    </w:p>
    <w:p>
      <w:pPr>
        <w:spacing w:before="0" w:after="0"/>
        <w:ind w:left="120"/>
        <w:jc w:val="center"/>
      </w:pPr>
      <w:r>
        <w:rPr>
          <w:rFonts w:ascii="Times New Roman" w:hAnsi="Times New Roman"/>
          <w:b w:val="false"/>
          <w:i w:val="false"/>
          <w:color w:val="000000"/>
          <w:sz w:val="21"/>
        </w:rPr>
        <w:t>[Filed 6/3/83, Notice 3/30/83—published 6/22/83, effective 8/1/83]</w:t>
      </w:r>
    </w:p>
    <w:p>
      <w:pPr>
        <w:spacing w:before="0" w:after="0"/>
        <w:ind w:left="120"/>
        <w:jc w:val="center"/>
      </w:pPr>
      <w:r>
        <w:rPr>
          <w:rFonts w:ascii="Times New Roman" w:hAnsi="Times New Roman"/>
          <w:b w:val="false"/>
          <w:i w:val="false"/>
          <w:color w:val="000000"/>
          <w:sz w:val="21"/>
        </w:rPr>
        <w:t>[Filed 6/13/84, Notice 2/29/84—published 7/4/84, effective 9/1/84]</w:t>
      </w:r>
    </w:p>
    <w:p>
      <w:pPr>
        <w:spacing w:before="0" w:after="0"/>
        <w:ind w:left="120"/>
        <w:jc w:val="center"/>
      </w:pPr>
      <w:r>
        <w:rPr>
          <w:rFonts w:ascii="Times New Roman" w:hAnsi="Times New Roman"/>
          <w:b w:val="false"/>
          <w:i w:val="false"/>
          <w:color w:val="000000"/>
          <w:sz w:val="21"/>
        </w:rPr>
        <w:t>[Filed 6/6/85, Notice 2/27/85—published 7/3/85, effective 8/15/85]</w:t>
      </w:r>
    </w:p>
    <w:p>
      <w:pPr>
        <w:spacing w:before="0" w:after="0"/>
        <w:ind w:left="120"/>
        <w:jc w:val="center"/>
      </w:pPr>
      <w:r>
        <w:rPr>
          <w:rFonts w:ascii="Times New Roman" w:hAnsi="Times New Roman"/>
          <w:b w:val="false"/>
          <w:i w:val="false"/>
          <w:color w:val="000000"/>
          <w:sz w:val="21"/>
        </w:rPr>
        <w:t>[Filed 6/11/86, Notice 2/26/86—published 7/2/86, effective 8/15/86]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6/11/87, Notice 3/11/87—published 7/1/87, effective 8/10/87]</w:t>
      </w:r>
    </w:p>
    <w:p>
      <w:pPr>
        <w:spacing w:before="0" w:after="0"/>
        <w:ind w:left="120"/>
        <w:jc w:val="center"/>
      </w:pPr>
      <w:r>
        <w:rPr>
          <w:rFonts w:ascii="Times New Roman" w:hAnsi="Times New Roman"/>
          <w:b w:val="false"/>
          <w:i w:val="false"/>
          <w:color w:val="000000"/>
          <w:sz w:val="21"/>
        </w:rPr>
        <w:t>[Filed 5/13/88, Notice 2/24/88—published 6/1/88, effective 7/6/88]</w:t>
      </w:r>
    </w:p>
    <w:p>
      <w:pPr>
        <w:spacing w:before="0" w:after="0"/>
        <w:ind w:left="120"/>
        <w:jc w:val="center"/>
      </w:pPr>
      <w:r>
        <w:rPr>
          <w:rFonts w:ascii="Times New Roman" w:hAnsi="Times New Roman"/>
          <w:b w:val="false"/>
          <w:i w:val="false"/>
          <w:color w:val="000000"/>
          <w:sz w:val="21"/>
        </w:rPr>
        <w:t>[Filed 5/12/89, Notice 3/8/89—published 5/31/89, effective 8/1/89]</w:t>
      </w:r>
    </w:p>
    <w:p>
      <w:pPr>
        <w:spacing w:before="0" w:after="0"/>
        <w:ind w:left="120"/>
        <w:jc w:val="center"/>
      </w:pPr>
      <w:r>
        <w:rPr>
          <w:rFonts w:ascii="Times New Roman" w:hAnsi="Times New Roman"/>
          <w:b w:val="false"/>
          <w:i w:val="false"/>
          <w:color w:val="000000"/>
          <w:sz w:val="21"/>
        </w:rPr>
        <w:t>[Filed 5/11/90, Notice 3/7/90—published 5/30/90, effective 8/1/90]</w:t>
      </w:r>
    </w:p>
    <w:p>
      <w:pPr>
        <w:spacing w:before="0" w:after="0"/>
        <w:ind w:left="120"/>
        <w:jc w:val="center"/>
      </w:pPr>
      <w:r>
        <w:rPr>
          <w:rFonts w:ascii="Times New Roman" w:hAnsi="Times New Roman"/>
          <w:b w:val="false"/>
          <w:i w:val="false"/>
          <w:color w:val="000000"/>
          <w:sz w:val="21"/>
        </w:rPr>
        <w:t>[Filed 5/10/91, Notice 3/6/91—published 5/29/91, effective 8/1/91]</w:t>
      </w:r>
    </w:p>
    <w:p>
      <w:pPr>
        <w:spacing w:before="0" w:after="0"/>
        <w:ind w:left="120"/>
        <w:jc w:val="center"/>
      </w:pPr>
      <w:r>
        <w:rPr>
          <w:rFonts w:ascii="Times New Roman" w:hAnsi="Times New Roman"/>
          <w:b w:val="false"/>
          <w:i w:val="false"/>
          <w:color w:val="000000"/>
          <w:sz w:val="21"/>
        </w:rPr>
        <w:t>[Filed 5/8/92, Notice 3/4/92—published 5/27/92, effective 8/3/92]</w:t>
      </w:r>
    </w:p>
    <w:p>
      <w:pPr>
        <w:spacing w:before="0" w:after="0"/>
        <w:ind w:left="120"/>
        <w:jc w:val="center"/>
      </w:pPr>
      <w:r>
        <w:rPr>
          <w:rFonts w:ascii="Times New Roman" w:hAnsi="Times New Roman"/>
          <w:b w:val="false"/>
          <w:i w:val="false"/>
          <w:color w:val="000000"/>
          <w:sz w:val="21"/>
        </w:rPr>
        <w:t>[Filed 5/7/93, Notice 3/31/93—published 5/26/93, effective 8/2/93]</w:t>
      </w:r>
    </w:p>
    <w:p>
      <w:pPr>
        <w:spacing w:before="0" w:after="0"/>
        <w:ind w:left="120"/>
        <w:jc w:val="center"/>
      </w:pPr>
      <w:r>
        <w:rPr>
          <w:rFonts w:ascii="Times New Roman" w:hAnsi="Times New Roman"/>
          <w:b w:val="false"/>
          <w:i w:val="false"/>
          <w:color w:val="000000"/>
          <w:sz w:val="21"/>
        </w:rPr>
        <w:t>[Filed 5/20/94, Notice 3/2/94—published 6/8/94, effective 8/1/94]</w:t>
      </w:r>
    </w:p>
    <w:p>
      <w:pPr>
        <w:spacing w:before="0" w:after="0"/>
        <w:ind w:left="120"/>
        <w:jc w:val="center"/>
      </w:pPr>
      <w:r>
        <w:rPr>
          <w:rFonts w:ascii="Times New Roman" w:hAnsi="Times New Roman"/>
          <w:b w:val="false"/>
          <w:i w:val="false"/>
          <w:color w:val="000000"/>
          <w:sz w:val="21"/>
        </w:rPr>
        <w:t>[Filed 5/15/95, Notice 3/1/95—published 6/7/95, effective 8/1/95]</w:t>
      </w:r>
    </w:p>
    <w:p>
      <w:pPr>
        <w:spacing w:before="0" w:after="0"/>
        <w:ind w:left="120"/>
        <w:jc w:val="center"/>
      </w:pPr>
      <w:r>
        <w:rPr>
          <w:rFonts w:ascii="Times New Roman" w:hAnsi="Times New Roman"/>
          <w:b w:val="false"/>
          <w:i w:val="false"/>
          <w:color w:val="000000"/>
          <w:sz w:val="21"/>
        </w:rPr>
        <w:t>[Filed 9/19/97, Notice 7/16/97—published 10/8/97, effective 11/12/97]</w:t>
      </w:r>
    </w:p>
    <w:p>
      <w:pPr>
        <w:spacing w:before="0" w:after="0"/>
        <w:ind w:left="120"/>
        <w:jc w:val="center"/>
      </w:pPr>
      <w:r>
        <w:rPr>
          <w:rFonts w:ascii="Times New Roman" w:hAnsi="Times New Roman"/>
          <w:b w:val="false"/>
          <w:i w:val="false"/>
          <w:color w:val="000000"/>
          <w:sz w:val="21"/>
        </w:rPr>
        <w:t>[Filed 5/18/05, Notice 3/30/05—published 6/8/05, effective 7/13/05]</w:t>
      </w:r>
    </w:p>
    <w:p>
      <w:pPr>
        <w:spacing w:before="0" w:after="0"/>
        <w:ind w:left="120"/>
        <w:jc w:val="center"/>
      </w:pPr>
      <w:r>
        <w:rPr>
          <w:rFonts w:ascii="Times New Roman" w:hAnsi="Times New Roman"/>
          <w:b w:val="false"/>
          <w:i w:val="false"/>
          <w:color w:val="000000"/>
          <w:sz w:val="21"/>
        </w:rPr>
        <w:t>[Filed 5/17/06, Notice 3/29/06—published 6/7/06, effective 7/12/06]</w:t>
      </w:r>
    </w:p>
    <w:p>
      <w:pPr>
        <w:spacing w:before="0" w:after="0"/>
        <w:ind w:left="120"/>
        <w:jc w:val="center"/>
      </w:pPr>
      <w:r>
        <w:rPr>
          <w:rFonts w:ascii="Times New Roman" w:hAnsi="Times New Roman"/>
          <w:b w:val="false"/>
          <w:i w:val="false"/>
          <w:color w:val="000000"/>
          <w:sz w:val="21"/>
        </w:rPr>
        <w:t>[Filed 6/14/07, Notice 5/9/07—published 7/4/07, effective 8/8/07]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7933B</w:t>
      </w:r>
      <w:r>
        <w:rPr>
          <w:rFonts w:ascii="Times New Roman" w:hAnsi="Times New Roman"/>
          <w:b w:val="false"/>
          <w:i w:val="false"/>
          <w:color w:val="000000"/>
          <w:sz w:val="21"/>
        </w:rPr>
        <w:t xml:space="preserve"> (Notice ARC 7691B, IAB 4/8/09)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8889B</w:t>
      </w:r>
      <w:r>
        <w:rPr>
          <w:rFonts w:ascii="Times New Roman" w:hAnsi="Times New Roman"/>
          <w:b w:val="false"/>
          <w:i w:val="false"/>
          <w:color w:val="000000"/>
          <w:sz w:val="21"/>
        </w:rPr>
        <w:t xml:space="preserve"> (Notice ARC 8685B, IAB 4/7/10)</w:t>
      </w:r>
      <w:r>
        <w:rPr>
          <w:rFonts w:ascii="Times New Roman" w:hAnsi="Times New Roman"/>
          <w:b w:val="false"/>
          <w:i w:val="false"/>
          <w:color w:val="000000"/>
          <w:sz w:val="21"/>
        </w:rPr>
        <w:t>, IAB 6/30/10, effective 8/18/10]</w:t>
      </w:r>
    </w:p>
    <w:p>
      <w:pPr>
        <w:spacing w:before="0" w:after="0"/>
        <w:ind w:left="120"/>
        <w:jc w:val="center"/>
      </w:pPr>
      <w:r>
        <w:rPr>
          <w:rFonts w:ascii="Times New Roman" w:hAnsi="Times New Roman"/>
          <w:b w:val="false"/>
          <w:i w:val="false"/>
          <w:color w:val="000000"/>
          <w:sz w:val="21"/>
        </w:rPr>
        <w:t>[Filed ARC 9654B</w:t>
      </w:r>
      <w:r>
        <w:rPr>
          <w:rFonts w:ascii="Times New Roman" w:hAnsi="Times New Roman"/>
          <w:b w:val="false"/>
          <w:i w:val="false"/>
          <w:color w:val="000000"/>
          <w:sz w:val="21"/>
        </w:rPr>
        <w:t xml:space="preserve"> (Notice ARC 9544B, IAB 6/1/11)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0188C</w:t>
      </w:r>
      <w:r>
        <w:rPr>
          <w:rFonts w:ascii="Times New Roman" w:hAnsi="Times New Roman"/>
          <w:b w:val="false"/>
          <w:i w:val="false"/>
          <w:color w:val="000000"/>
          <w:sz w:val="21"/>
        </w:rPr>
        <w:t xml:space="preserve"> (Notice ARC 0115C, IAB 5/2/12)</w:t>
      </w:r>
      <w:r>
        <w:rPr>
          <w:rFonts w:ascii="Times New Roman" w:hAnsi="Times New Roman"/>
          <w:b w:val="false"/>
          <w:i w:val="false"/>
          <w:color w:val="000000"/>
          <w:sz w:val="21"/>
        </w:rPr>
        <w:t>, IAB 7/11/12, effective 8/15/12]</w:t>
      </w:r>
    </w:p>
    <w:p>
      <w:pPr>
        <w:spacing w:before="0" w:after="0"/>
        <w:ind w:left="120"/>
        <w:jc w:val="center"/>
      </w:pPr>
      <w:r>
        <w:rPr>
          <w:rFonts w:ascii="Times New Roman" w:hAnsi="Times New Roman"/>
          <w:b w:val="false"/>
          <w:i w:val="false"/>
          <w:color w:val="000000"/>
          <w:sz w:val="21"/>
        </w:rPr>
        <w:t>[Filed ARC 0831C</w:t>
      </w:r>
      <w:r>
        <w:rPr>
          <w:rFonts w:ascii="Times New Roman" w:hAnsi="Times New Roman"/>
          <w:b w:val="false"/>
          <w:i w:val="false"/>
          <w:color w:val="000000"/>
          <w:sz w:val="21"/>
        </w:rPr>
        <w:t xml:space="preserve"> (Notice ARC 0718C, IAB 5/1/13)</w:t>
      </w:r>
      <w:r>
        <w:rPr>
          <w:rFonts w:ascii="Times New Roman" w:hAnsi="Times New Roman"/>
          <w:b w:val="false"/>
          <w:i w:val="false"/>
          <w:color w:val="000000"/>
          <w:sz w:val="21"/>
        </w:rPr>
        <w:t>, IAB 7/10/13, effective 8/14/13]</w:t>
      </w:r>
    </w:p>
    <w:p>
      <w:pPr>
        <w:spacing w:before="0" w:after="0"/>
        <w:ind w:left="120"/>
        <w:jc w:val="center"/>
      </w:pPr>
      <w:r>
        <w:rPr>
          <w:rFonts w:ascii="Times New Roman" w:hAnsi="Times New Roman"/>
          <w:b w:val="false"/>
          <w:i w:val="false"/>
          <w:color w:val="000000"/>
          <w:sz w:val="21"/>
        </w:rPr>
        <w:t>[Filed ARC 3799C</w:t>
      </w:r>
      <w:r>
        <w:rPr>
          <w:rFonts w:ascii="Times New Roman" w:hAnsi="Times New Roman"/>
          <w:b w:val="false"/>
          <w:i w:val="false"/>
          <w:color w:val="000000"/>
          <w:sz w:val="21"/>
        </w:rPr>
        <w:t xml:space="preserve"> (Notice ARC 3624C, IAB 2/14/18)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4530C</w:t>
      </w:r>
      <w:r>
        <w:rPr>
          <w:rFonts w:ascii="Times New Roman" w:hAnsi="Times New Roman"/>
          <w:b w:val="false"/>
          <w:i w:val="false"/>
          <w:color w:val="000000"/>
          <w:sz w:val="21"/>
        </w:rPr>
        <w:t xml:space="preserve"> (Notice ARC 4423C, IAB 5/8/19)</w:t>
      </w:r>
      <w:r>
        <w:rPr>
          <w:rFonts w:ascii="Times New Roman" w:hAnsi="Times New Roman"/>
          <w:b w:val="false"/>
          <w:i w:val="false"/>
          <w:color w:val="000000"/>
          <w:sz w:val="21"/>
        </w:rPr>
        <w:t>, IAB 7/3/19, effective 8/7/19]</w:t>
      </w:r>
    </w:p>
    <w:p>
      <w:pPr>
        <w:spacing w:before="0" w:after="0"/>
        <w:ind w:left="120"/>
        <w:jc w:val="center"/>
      </w:pPr>
      <w:r>
        <w:rPr>
          <w:rFonts w:ascii="Times New Roman" w:hAnsi="Times New Roman"/>
          <w:b w:val="false"/>
          <w:i w:val="false"/>
          <w:color w:val="000000"/>
          <w:sz w:val="21"/>
        </w:rPr>
        <w:t>[Filed ARC 5067C</w:t>
      </w:r>
      <w:r>
        <w:rPr>
          <w:rFonts w:ascii="Times New Roman" w:hAnsi="Times New Roman"/>
          <w:b w:val="false"/>
          <w:i w:val="false"/>
          <w:color w:val="000000"/>
          <w:sz w:val="21"/>
        </w:rPr>
        <w:t xml:space="preserve"> (Notice ARC 5033C, IAB 5/6/20)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5681C</w:t>
      </w:r>
      <w:r>
        <w:rPr>
          <w:rFonts w:ascii="Times New Roman" w:hAnsi="Times New Roman"/>
          <w:b w:val="false"/>
          <w:i w:val="false"/>
          <w:color w:val="000000"/>
          <w:sz w:val="21"/>
        </w:rPr>
        <w:t xml:space="preserve"> (Notice ARC 5510C, IAB 3/10/21)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7010C</w:t>
      </w:r>
      <w:r>
        <w:rPr>
          <w:rFonts w:ascii="Times New Roman" w:hAnsi="Times New Roman"/>
          <w:b w:val="false"/>
          <w:i w:val="false"/>
          <w:color w:val="000000"/>
          <w:sz w:val="21"/>
        </w:rPr>
        <w:t xml:space="preserve"> (Amended Notice ARC 6948C, IAB 3/8/23; </w:t>
      </w:r>
      <w:r>
        <w:rPr>
          <w:rFonts w:ascii="Times New Roman" w:hAnsi="Times New Roman"/>
          <w:b w:val="false"/>
          <w:i w:val="false"/>
          <w:color w:val="000000"/>
          <w:sz w:val="21"/>
        </w:rPr>
        <w:t>Notice ARC 6815C, IAB 1/11/23)</w:t>
      </w:r>
      <w:r>
        <w:rPr>
          <w:rFonts w:ascii="Times New Roman" w:hAnsi="Times New Roman"/>
          <w:b w:val="false"/>
          <w:i w:val="false"/>
          <w:color w:val="000000"/>
          <w:sz w:val="21"/>
        </w:rPr>
        <w:t>, IAB 5/3/23, effective 6/7/23]</w:t>
      </w:r>
      <w:r>
        <w:rPr>
          <w:rFonts w:ascii="Times New Roman" w:hAnsi="Times New Roman"/>
          <w:b w:val="false"/>
          <w:i w:val="false"/>
          <w:color w:val="000000"/>
          <w:sz w:val="10"/>
        </w:rPr>
        <w:t>1</w:t>
      </w:r>
    </w:p>
    <w:p>
      <w:pPr>
        <w:pBdr>
          <w:bottom w:space="2"/>
        </w:pBdr>
        <w:spacing w:before="0" w:after="0"/>
        <w:ind w:left="120"/>
        <w:jc w:val="both"/>
      </w:pPr>
      <w:r>
        <w:rPr>
          <w:rFonts w:ascii="Times New Roman" w:hAnsi="Times New Roman"/>
          <w:b w:val="false"/>
          <w:i w:val="false"/>
          <w:color w:val="000000"/>
          <w:sz w:val="22"/>
        </w:rPr>
        <w:t>June 7, 2023, effective date of amendments to 108.1 to 108.10 [ARC 7010C] delayed 70 days by the Administrative Rules Review Committee at its meeting held May 8, 2023; delay lifted at the meeting held June 13, 2023.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90.pdf" Type="http://schemas.openxmlformats.org/officeDocument/2006/relationships/hyperlink" Id="rId5"/>
    <Relationship TargetMode="External" Target="https://www.legis.iowa.gov/docs/iac/chapter/571.110.pdf" Type="http://schemas.openxmlformats.org/officeDocument/2006/relationships/hyperlink" Id="rId6"/>
    <Relationship TargetMode="External" Target="https://www.legis.iowa.gov/docs/ico/chapter/481A.6.pdf" Type="http://schemas.openxmlformats.org/officeDocument/2006/relationships/hyperlink" Id="rId7"/>
    <Relationship TargetMode="External" Target="https://www.legis.iowa.gov/docs/ico/chapter/481A.38.pdf" Type="http://schemas.openxmlformats.org/officeDocument/2006/relationships/hyperlink" Id="rId8"/>
    <Relationship TargetMode="External" Target="https://www.legis.iowa.gov/docs/ico/chapter/481A.39.pdf" Type="http://schemas.openxmlformats.org/officeDocument/2006/relationships/hyperlink" Id="rId9"/>
    <Relationship TargetMode="External" Target="https://www.legis.iowa.gov/docs/ico/chapter/481A.87.pdf" Type="http://schemas.openxmlformats.org/officeDocument/2006/relationships/hyperlink" Id="rId10"/>
    <Relationship TargetMode="External" Target="https://www.legis.iowa.gov/docs/ico/chapter/481A.90.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