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FALCONRY REGULATIONS FOR HUNTING GAME</w:t>
      </w:r>
    </w:p>
    <w:p>
      <w:pPr>
        <w:spacing w:before="0" w:after="0"/>
        <w:ind w:left="120"/>
        <w:jc w:val="center"/>
      </w:pPr>
      <w:r>
        <w:rPr>
          <w:rFonts w:ascii="Times New Roman" w:hAnsi="Times New Roman"/>
          <w:b w:val="false"/>
          <w:i w:val="false"/>
          <w:color w:val="000000"/>
          <w:sz w:val="14"/>
        </w:rPr>
        <w:t>[Prior to 12/31/86, Conservation Commission[290] Ch 100]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571—102.1</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w:t>
      </w:r>
      <w:r>
        <w:rPr>
          <w:rFonts w:ascii="Times New Roman" w:hAnsi="Times New Roman"/>
          <w:b w:val="false"/>
          <w:i w:val="false"/>
          <w:color w:val="000000"/>
          <w:sz w:val="22"/>
        </w:rPr>
        <w:t>Game may be taken annually, by permitted falconers only,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“Falconer” </w:t>
      </w:r>
      <w:r>
        <w:rPr>
          <w:rFonts w:ascii="Times New Roman" w:hAnsi="Times New Roman"/>
          <w:b w:val="false"/>
          <w:i w:val="false"/>
          <w:color w:val="000000"/>
          <w:sz w:val="22"/>
        </w:rPr>
        <w:t xml:space="preserve">means any person permitted under the provisions of </w:t>
      </w:r>
      <w:hyperlink r:id="rId5">
        <w:r>
          <w:rPr>
            <w:rStyle w:val="Hyperlink"/>
            <w:rFonts w:ascii="Times New Roman" w:hAnsi="Times New Roman"/>
            <w:b w:val="false"/>
            <w:i w:val="false"/>
            <w:color w:val="000000"/>
            <w:sz w:val="22"/>
          </w:rPr>
          <w:t>571—Chapter 101</w:t>
        </w:r>
      </w:hyperlink>
      <w:r>
        <w:rPr>
          <w:rFonts w:ascii="Times New Roman" w:hAnsi="Times New Roman"/>
          <w:b w:val="false"/>
          <w:i w:val="false"/>
          <w:color w:val="000000"/>
          <w:sz w:val="22"/>
        </w:rPr>
        <w:t>, Iowa Administrative Code, who pursues the sport of falconry.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“Falconry” </w:t>
      </w:r>
      <w:r>
        <w:rPr>
          <w:rFonts w:ascii="Times New Roman" w:hAnsi="Times New Roman"/>
          <w:b w:val="false"/>
          <w:i w:val="false"/>
          <w:color w:val="000000"/>
          <w:sz w:val="22"/>
        </w:rPr>
        <w:t>means the sport of taking game by means of a raptor.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“Raptor” </w:t>
      </w:r>
      <w:r>
        <w:rPr>
          <w:rFonts w:ascii="Times New Roman" w:hAnsi="Times New Roman"/>
          <w:b w:val="false"/>
          <w:i w:val="false"/>
          <w:color w:val="000000"/>
          <w:sz w:val="22"/>
        </w:rPr>
        <w:t>means any of the following wild species: American kestrel, Cooper’s hawk, Ferruginous hawk, Goshawk, Great horned owl, Gyrfalcon, Harris’ hawk, Merlin, Prairie falcon, Red-tailed hawk, Rough-legged hawk, Sharp-shinned hawk and any captive-bred species used for falconry.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Licenses and permits. </w:t>
      </w:r>
      <w:r>
        <w:rPr>
          <w:rFonts w:ascii="Times New Roman" w:hAnsi="Times New Roman"/>
          <w:b w:val="false"/>
          <w:i w:val="false"/>
          <w:color w:val="000000"/>
          <w:sz w:val="22"/>
        </w:rPr>
        <w:t>In addition to the falconry permit, a falconer must have all other licenses, stamps, and permits required by law. A falconry observer is not required to be licensed for hunting, but an observer shall not assist in the hunt.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color w:val="000000"/>
          <w:sz w:val="22"/>
        </w:rPr>
        <w:t xml:space="preserve">Other requirements. </w:t>
      </w:r>
      <w:r>
        <w:rPr>
          <w:rFonts w:ascii="Times New Roman" w:hAnsi="Times New Roman"/>
          <w:b w:val="false"/>
          <w:i w:val="false"/>
          <w:color w:val="000000"/>
          <w:sz w:val="22"/>
        </w:rPr>
        <w:t xml:space="preserve">Except for the provisions of rule </w:t>
      </w:r>
      <w:hyperlink r:id="rId6">
        <w:r>
          <w:rPr>
            <w:rStyle w:val="Hyperlink"/>
            <w:rFonts w:ascii="Times New Roman" w:hAnsi="Times New Roman"/>
            <w:b w:val="false"/>
            <w:i w:val="false"/>
            <w:color w:val="000000"/>
            <w:sz w:val="22"/>
          </w:rPr>
          <w:t>571—102.2</w:t>
        </w:r>
      </w:hyperlink>
      <w:r>
        <w:rPr>
          <w:rFonts w:ascii="Times New Roman" w:hAnsi="Times New Roman"/>
          <w:b w:val="false"/>
          <w:i w:val="false"/>
          <w:color w:val="000000"/>
          <w:sz w:val="22"/>
        </w:rPr>
        <w:t>(481A), any person taking game by falconry must comply with all other statutes and rules governing this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571—102.2</w:t>
      </w:r>
      <w:r>
        <w:rPr>
          <w:rFonts w:ascii="Times New Roman" w:hAnsi="Times New Roman"/>
          <w:b/>
          <w:i w:val="false"/>
          <w:color w:val="000000"/>
          <w:sz w:val="22"/>
        </w:rPr>
        <w:t xml:space="preserve">(481A) </w:t>
      </w:r>
      <w:r>
        <w:rPr>
          <w:rFonts w:ascii="Times New Roman" w:hAnsi="Times New Roman"/>
          <w:b/>
          <w:i w:val="false"/>
          <w:color w:val="000000"/>
          <w:sz w:val="22"/>
        </w:rPr>
        <w:t xml:space="preserve">Migratory bird regulations. </w:t>
      </w:r>
      <w:r>
        <w:rPr>
          <w:rFonts w:ascii="Times New Roman" w:hAnsi="Times New Roman"/>
          <w:b w:val="false"/>
          <w:i w:val="false"/>
          <w:color w:val="000000"/>
          <w:sz w:val="22"/>
        </w:rPr>
        <w:t>Seasons and limits for taking migratory birds by means of falconry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Ducks and coots. </w:t>
      </w:r>
      <w:r>
        <w:rPr>
          <w:rFonts w:ascii="Times New Roman" w:hAnsi="Times New Roman"/>
          <w:b w:val="false"/>
          <w:i w:val="false"/>
          <w:color w:val="000000"/>
          <w:sz w:val="22"/>
        </w:rPr>
        <w:t xml:space="preserve">The season for taking ducks and coots by means of falconry may vary among duck hunting zones. Falconry seasons for ducks and coots shall be open whenever the conventional (gun) duck and coot hunting season is open in each zone, as described in rules </w:t>
      </w:r>
      <w:hyperlink r:id="rId7">
        <w:r>
          <w:rPr>
            <w:rStyle w:val="Hyperlink"/>
            <w:rFonts w:ascii="Times New Roman" w:hAnsi="Times New Roman"/>
            <w:b w:val="false"/>
            <w:i w:val="false"/>
            <w:color w:val="000000"/>
            <w:sz w:val="22"/>
          </w:rPr>
          <w:t>571—91.1</w:t>
        </w:r>
      </w:hyperlink>
      <w:r>
        <w:rPr>
          <w:rFonts w:ascii="Times New Roman" w:hAnsi="Times New Roman"/>
          <w:b w:val="false"/>
          <w:i w:val="false"/>
          <w:color w:val="000000"/>
          <w:sz w:val="22"/>
        </w:rPr>
        <w:t xml:space="preserve">(481A) and </w:t>
      </w:r>
      <w:hyperlink r:id="rId8">
        <w:r>
          <w:rPr>
            <w:rStyle w:val="Hyperlink"/>
            <w:rFonts w:ascii="Times New Roman" w:hAnsi="Times New Roman"/>
            <w:b w:val="false"/>
            <w:i w:val="false"/>
            <w:color w:val="000000"/>
            <w:sz w:val="22"/>
          </w:rPr>
          <w:t>571—91.2</w:t>
        </w:r>
      </w:hyperlink>
      <w:r>
        <w:rPr>
          <w:rFonts w:ascii="Times New Roman" w:hAnsi="Times New Roman"/>
          <w:b w:val="false"/>
          <w:i w:val="false"/>
          <w:color w:val="000000"/>
          <w:sz w:val="22"/>
        </w:rPr>
        <w:t>(481A), and shall also be open beginning the first Saturday in January in each zone and remain open until the combined total of the conventional hunting season days plus falconry hunting season days reaches 107 for the zone or February 28,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Geese. </w:t>
      </w:r>
      <w:r>
        <w:rPr>
          <w:rFonts w:ascii="Times New Roman" w:hAnsi="Times New Roman"/>
          <w:b w:val="false"/>
          <w:i w:val="false"/>
          <w:color w:val="000000"/>
          <w:sz w:val="22"/>
        </w:rPr>
        <w:t xml:space="preserve">The season for taking geese by means of falconry may vary among goose hunting zones. Falconry seasons for white-fronted geese and light geese (white and blue-phase snow geese and Ross’ geese) shall begin each year on the first day of the conventional (gun) hunting season for these geese in each zone, as described in rule </w:t>
      </w:r>
      <w:hyperlink r:id="rId9">
        <w:r>
          <w:rPr>
            <w:rStyle w:val="Hyperlink"/>
            <w:rFonts w:ascii="Times New Roman" w:hAnsi="Times New Roman"/>
            <w:b w:val="false"/>
            <w:i w:val="false"/>
            <w:color w:val="000000"/>
            <w:sz w:val="22"/>
          </w:rPr>
          <w:t>571—91.3</w:t>
        </w:r>
      </w:hyperlink>
      <w:r>
        <w:rPr>
          <w:rFonts w:ascii="Times New Roman" w:hAnsi="Times New Roman"/>
          <w:b w:val="false"/>
          <w:i w:val="false"/>
          <w:color w:val="000000"/>
          <w:sz w:val="22"/>
        </w:rPr>
        <w:t>(481A). Falconry seasons for Canada geese and brant shall be open concurrently with the conventional (gun) hunting season for these geese.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102.2(3)</w:t>
      </w:r>
      <w:r>
        <w:rPr>
          <w:rFonts w:ascii="Times New Roman" w:hAnsi="Times New Roman"/>
          <w:b w:val="false"/>
          <w:i w:val="false"/>
          <w:color w:val="000000"/>
          <w:sz w:val="22"/>
        </w:rPr>
        <w:t> </w:t>
      </w:r>
      <w:r>
        <w:rPr>
          <w:rFonts w:ascii="Times New Roman" w:hAnsi="Times New Roman"/>
          <w:b w:val="false"/>
          <w:i/>
          <w:color w:val="000000"/>
          <w:sz w:val="22"/>
        </w:rPr>
        <w:t xml:space="preserve">Rails, snipe and woodcock. </w:t>
      </w:r>
      <w:r>
        <w:rPr>
          <w:rFonts w:ascii="Times New Roman" w:hAnsi="Times New Roman"/>
          <w:b w:val="false"/>
          <w:i w:val="false"/>
          <w:color w:val="000000"/>
          <w:sz w:val="22"/>
        </w:rPr>
        <w:t xml:space="preserve">The seasons for taking rails, snipe and woodcock by means of falconry shall begin each year on the first day of the conventional (gun) hunting seasons for these species, as described in rules </w:t>
      </w:r>
      <w:hyperlink r:id="rId10">
        <w:r>
          <w:rPr>
            <w:rStyle w:val="Hyperlink"/>
            <w:rFonts w:ascii="Times New Roman" w:hAnsi="Times New Roman"/>
            <w:b w:val="false"/>
            <w:i w:val="false"/>
            <w:color w:val="000000"/>
            <w:sz w:val="22"/>
          </w:rPr>
          <w:t>571—97.1</w:t>
        </w:r>
      </w:hyperlink>
      <w:r>
        <w:rPr>
          <w:rFonts w:ascii="Times New Roman" w:hAnsi="Times New Roman"/>
          <w:b w:val="false"/>
          <w:i w:val="false"/>
          <w:color w:val="000000"/>
          <w:sz w:val="22"/>
        </w:rPr>
        <w:t xml:space="preserve">(481A), </w:t>
      </w:r>
      <w:hyperlink r:id="rId11">
        <w:r>
          <w:rPr>
            <w:rStyle w:val="Hyperlink"/>
            <w:rFonts w:ascii="Times New Roman" w:hAnsi="Times New Roman"/>
            <w:b w:val="false"/>
            <w:i w:val="false"/>
            <w:color w:val="000000"/>
            <w:sz w:val="22"/>
          </w:rPr>
          <w:t>571—97.2</w:t>
        </w:r>
      </w:hyperlink>
      <w:r>
        <w:rPr>
          <w:rFonts w:ascii="Times New Roman" w:hAnsi="Times New Roman"/>
          <w:b w:val="false"/>
          <w:i w:val="false"/>
          <w:color w:val="000000"/>
          <w:sz w:val="22"/>
        </w:rPr>
        <w:t xml:space="preserve">(481A), and </w:t>
      </w:r>
      <w:hyperlink r:id="rId12">
        <w:r>
          <w:rPr>
            <w:rStyle w:val="Hyperlink"/>
            <w:rFonts w:ascii="Times New Roman" w:hAnsi="Times New Roman"/>
            <w:b w:val="false"/>
            <w:i w:val="false"/>
            <w:color w:val="000000"/>
            <w:sz w:val="22"/>
          </w:rPr>
          <w:t>571—97.3</w:t>
        </w:r>
      </w:hyperlink>
      <w:r>
        <w:rPr>
          <w:rFonts w:ascii="Times New Roman" w:hAnsi="Times New Roman"/>
          <w:b w:val="false"/>
          <w:i w:val="false"/>
          <w:color w:val="000000"/>
          <w:sz w:val="22"/>
        </w:rPr>
        <w:t>(481A), and continue for 107 consecutive days. The entire state is open for these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w:t>
      </w:r>
      <w:r>
        <w:rPr>
          <w:rFonts w:ascii="Times New Roman" w:hAnsi="Times New Roman"/>
          <w:b w:val="false"/>
          <w:i w:val="false"/>
          <w:color w:val="000000"/>
          <w:sz w:val="22"/>
        </w:rPr>
        <w:t> </w:t>
      </w:r>
      <w:r>
        <w:rPr>
          <w:rFonts w:ascii="Times New Roman" w:hAnsi="Times New Roman"/>
          <w:b w:val="false"/>
          <w:i/>
          <w:color w:val="000000"/>
          <w:sz w:val="22"/>
        </w:rPr>
        <w:t xml:space="preserve">Hawking hours and limits. </w:t>
      </w:r>
      <w:r>
        <w:rPr>
          <w:rFonts w:ascii="Times New Roman" w:hAnsi="Times New Roman"/>
          <w:b w:val="false"/>
          <w:i w:val="false"/>
          <w:color w:val="000000"/>
          <w:sz w:val="22"/>
        </w:rPr>
        <w:t>Hawking hours for migratory game birds are one-half hour before sunrise to sunset. The daily bag limit shall include no more than three migratory game birds, singly or in aggregate. The possession limit is three times the daily bag limit. There are no hawking hour restrictions for nonmigratory game during the legal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3060C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571—102.3</w:t>
      </w:r>
      <w:r>
        <w:rPr>
          <w:rFonts w:ascii="Times New Roman" w:hAnsi="Times New Roman"/>
          <w:b/>
          <w:i w:val="false"/>
          <w:color w:val="000000"/>
          <w:sz w:val="22"/>
        </w:rPr>
        <w:t xml:space="preserve">(481A) </w:t>
      </w:r>
      <w:r>
        <w:rPr>
          <w:rFonts w:ascii="Times New Roman" w:hAnsi="Times New Roman"/>
          <w:b/>
          <w:i w:val="false"/>
          <w:color w:val="000000"/>
          <w:sz w:val="22"/>
        </w:rPr>
        <w:t xml:space="preserve">Small game. </w:t>
      </w:r>
      <w:r>
        <w:rPr>
          <w:rFonts w:ascii="Times New Roman" w:hAnsi="Times New Roman"/>
          <w:b w:val="false"/>
          <w:i w:val="false"/>
          <w:color w:val="000000"/>
          <w:sz w:val="22"/>
        </w:rPr>
        <w:t>Seasons and limits for the taking of pheasant (both sexes), quail, gray partridge, ruffed grouse, squirrels, cottontail rabbit and jackrabbit, by falconry only,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Seasons.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Pheasant (both sexes), quail, gray partridge, ruffed grouse, and jackrabbit. </w:t>
      </w:r>
      <w:r>
        <w:rPr>
          <w:rFonts w:ascii="Times New Roman" w:hAnsi="Times New Roman"/>
          <w:b w:val="false"/>
          <w:i w:val="false"/>
          <w:color w:val="000000"/>
          <w:sz w:val="22"/>
        </w:rPr>
        <w:t>The season for the taking of pheasant, quail, gray partridge, ruffed grouse, and jackrabbit shall be from October 1 of each year through March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Cottontail rabbit and squirrel. </w:t>
      </w:r>
      <w:r>
        <w:rPr>
          <w:rFonts w:ascii="Times New Roman" w:hAnsi="Times New Roman"/>
          <w:b w:val="false"/>
          <w:i w:val="false"/>
          <w:color w:val="000000"/>
          <w:sz w:val="22"/>
        </w:rPr>
        <w:t>The season for the taking of cottontail rabbits and squirrels shall be from September 1 of each year through March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Pheasants (both sexes) and jackrabbit. </w:t>
      </w:r>
      <w:r>
        <w:rPr>
          <w:rFonts w:ascii="Times New Roman" w:hAnsi="Times New Roman"/>
          <w:b w:val="false"/>
          <w:i w:val="false"/>
          <w:color w:val="000000"/>
          <w:sz w:val="22"/>
        </w:rPr>
        <w:t>The daily limit shall be two pheasants, no more than one of which may be a hen, and one jackrabbit; possession limit shall be four pheasants and two jackrabbits.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Quail, gray partridge, ruffed grouse, squirrels and cottontail rabbit. </w:t>
      </w:r>
      <w:r>
        <w:rPr>
          <w:rFonts w:ascii="Times New Roman" w:hAnsi="Times New Roman"/>
          <w:b w:val="false"/>
          <w:i w:val="false"/>
          <w:color w:val="000000"/>
          <w:sz w:val="22"/>
        </w:rPr>
        <w:t>The daily limit shall be two quail, two gray partridge, two ruffed grouse, four cottontail rabbits and four squirrels; possession limit shall be four quail, four gray partridge, four ruffed grouse, eight cottontail rabbits, and eight squirrels.</w:t>
      </w:r>
    </w:p>
    <w:p>
      <w:pPr>
        <w:spacing w:before="0" w:after="0"/>
        <w:ind w:left="120"/>
        <w:jc w:val="both"/>
      </w:pPr>
      <w:r>
        <w:rPr>
          <w:rFonts w:ascii="Times New Roman" w:hAnsi="Times New Roman"/>
          <w:b/>
          <w:i w:val="false"/>
          <w:color w:val="000000"/>
          <w:sz w:val="22"/>
        </w:rPr>
        <w:t>571—102.4</w:t>
      </w:r>
      <w:r>
        <w:rPr>
          <w:rFonts w:ascii="Times New Roman" w:hAnsi="Times New Roman"/>
          <w:b/>
          <w:i w:val="false"/>
          <w:color w:val="000000"/>
          <w:sz w:val="22"/>
        </w:rPr>
        <w:t xml:space="preserve">(481A) </w:t>
      </w:r>
      <w:r>
        <w:rPr>
          <w:rFonts w:ascii="Times New Roman" w:hAnsi="Times New Roman"/>
          <w:b/>
          <w:i w:val="false"/>
          <w:color w:val="000000"/>
          <w:sz w:val="22"/>
        </w:rPr>
        <w:t xml:space="preserve">Means and methods of take. </w:t>
      </w:r>
      <w:r>
        <w:rPr>
          <w:rFonts w:ascii="Times New Roman" w:hAnsi="Times New Roman"/>
          <w:b w:val="false"/>
          <w:i w:val="false"/>
          <w:color w:val="000000"/>
          <w:sz w:val="22"/>
        </w:rPr>
        <w:t>No falconer or observer may carry a firearm while in the field with a raptor or in the act of falconry.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571—102.5</w:t>
      </w:r>
      <w:r>
        <w:rPr>
          <w:rFonts w:ascii="Times New Roman" w:hAnsi="Times New Roman"/>
          <w:b/>
          <w:i w:val="false"/>
          <w:color w:val="000000"/>
          <w:sz w:val="22"/>
        </w:rPr>
        <w:t xml:space="preserve">(481A) </w:t>
      </w:r>
      <w:r>
        <w:rPr>
          <w:rFonts w:ascii="Times New Roman" w:hAnsi="Times New Roman"/>
          <w:b/>
          <w:i w:val="false"/>
          <w:color w:val="000000"/>
          <w:sz w:val="22"/>
        </w:rPr>
        <w:t xml:space="preserve">Exclusions. </w:t>
      </w:r>
      <w:r>
        <w:rPr>
          <w:rFonts w:ascii="Times New Roman" w:hAnsi="Times New Roman"/>
          <w:b w:val="false"/>
          <w:i w:val="false"/>
          <w:color w:val="000000"/>
          <w:sz w:val="22"/>
        </w:rPr>
        <w:t xml:space="preserve">Nothing in this chapter shall pertain to the taking of game under </w:t>
      </w:r>
      <w:hyperlink r:id="rId13">
        <w:r>
          <w:rPr>
            <w:rStyle w:val="Hyperlink"/>
            <w:rFonts w:ascii="Times New Roman" w:hAnsi="Times New Roman"/>
            <w:b w:val="false"/>
            <w:i w:val="false"/>
            <w:color w:val="000000"/>
            <w:sz w:val="22"/>
          </w:rPr>
          <w:t>571— Chapters 91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97</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107</w:t>
        </w:r>
      </w:hyperlink>
      <w:r>
        <w:rPr>
          <w:rFonts w:ascii="Times New Roman" w:hAnsi="Times New Roman"/>
          <w:b w:val="false"/>
          <w:i w:val="false"/>
          <w:color w:val="000000"/>
          <w:sz w:val="22"/>
        </w:rPr>
        <w:t>, Iowa Administrative Code.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8/10/82, Notice 6/23/82—published 9/1/82, effective 9/1/82]</w:t>
      </w:r>
    </w:p>
    <w:p>
      <w:pPr>
        <w:spacing w:before="0" w:after="0"/>
        <w:ind w:left="120"/>
        <w:jc w:val="center"/>
      </w:pPr>
      <w:r>
        <w:rPr>
          <w:rFonts w:ascii="Times New Roman" w:hAnsi="Times New Roman"/>
          <w:b w:val="false"/>
          <w:i w:val="false"/>
          <w:color w:val="000000"/>
          <w:sz w:val="21"/>
        </w:rPr>
        <w:t>[Filed 5/31/85, Notice 2/27/85—published 6/19/85, effective 7/24/85]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5/12/89, Notice 3/8/89—published 5/31/89, effective 8/1/89]</w:t>
      </w:r>
    </w:p>
    <w:p>
      <w:pPr>
        <w:spacing w:before="0" w:after="0"/>
        <w:ind w:left="120"/>
        <w:jc w:val="center"/>
      </w:pPr>
      <w:r>
        <w:rPr>
          <w:rFonts w:ascii="Times New Roman" w:hAnsi="Times New Roman"/>
          <w:b w:val="false"/>
          <w:i w:val="false"/>
          <w:color w:val="000000"/>
          <w:sz w:val="21"/>
        </w:rPr>
        <w:t>[Filed 10/8/93, Notice 9/1/93—published 10/27/93, effective 12/1/93]</w:t>
      </w:r>
    </w:p>
    <w:p>
      <w:pPr>
        <w:spacing w:before="0" w:after="0"/>
        <w:ind w:left="120"/>
        <w:jc w:val="center"/>
      </w:pPr>
      <w:r>
        <w:rPr>
          <w:rFonts w:ascii="Times New Roman" w:hAnsi="Times New Roman"/>
          <w:b w:val="false"/>
          <w:i w:val="false"/>
          <w:color w:val="000000"/>
          <w:sz w:val="21"/>
        </w:rPr>
        <w:t>[Filed emergency 8/12/94 after Notice 3/2/94—published 8/31/94, effective 8/12/94]</w:t>
      </w:r>
    </w:p>
    <w:p>
      <w:pPr>
        <w:spacing w:before="0" w:after="0"/>
        <w:ind w:left="120"/>
        <w:jc w:val="center"/>
      </w:pPr>
      <w:r>
        <w:rPr>
          <w:rFonts w:ascii="Times New Roman" w:hAnsi="Times New Roman"/>
          <w:b w:val="false"/>
          <w:i w:val="false"/>
          <w:color w:val="000000"/>
          <w:sz w:val="21"/>
        </w:rPr>
        <w:t>[Filed 6/14/96, Notice 4/10/96—published 7/3/96, effective 8/7/96]</w:t>
      </w:r>
    </w:p>
    <w:p>
      <w:pPr>
        <w:spacing w:before="0" w:after="0"/>
        <w:ind w:left="120"/>
        <w:jc w:val="center"/>
      </w:pPr>
      <w:r>
        <w:rPr>
          <w:rFonts w:ascii="Times New Roman" w:hAnsi="Times New Roman"/>
          <w:b w:val="false"/>
          <w:i w:val="false"/>
          <w:color w:val="000000"/>
          <w:sz w:val="21"/>
        </w:rPr>
        <w:t>[Filed 8/22/97, Notice 4/9/97—published 9/10/97, effective 10/15/97]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emergency 8/11/05—published 8/31/05, effective 8/11/05]</w:t>
      </w:r>
    </w:p>
    <w:p>
      <w:pPr>
        <w:spacing w:before="0" w:after="0"/>
        <w:ind w:left="120"/>
        <w:jc w:val="center"/>
      </w:pPr>
      <w:r>
        <w:rPr>
          <w:rFonts w:ascii="Times New Roman" w:hAnsi="Times New Roman"/>
          <w:b w:val="false"/>
          <w:i w:val="false"/>
          <w:color w:val="000000"/>
          <w:sz w:val="21"/>
        </w:rPr>
        <w:t>[Filed ARC 9188B</w:t>
      </w:r>
      <w:r>
        <w:rPr>
          <w:rFonts w:ascii="Times New Roman" w:hAnsi="Times New Roman"/>
          <w:b w:val="false"/>
          <w:i w:val="false"/>
          <w:color w:val="000000"/>
          <w:sz w:val="21"/>
        </w:rPr>
        <w:t xml:space="preserve"> (Notice ARC 9007B, IAB 8/11/10)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3060C</w:t>
      </w:r>
      <w:r>
        <w:rPr>
          <w:rFonts w:ascii="Times New Roman" w:hAnsi="Times New Roman"/>
          <w:b w:val="false"/>
          <w:i w:val="false"/>
          <w:color w:val="000000"/>
          <w:sz w:val="21"/>
        </w:rPr>
        <w:t xml:space="preserve"> (Notice ARC 2937C, IAB 2/15/17)</w:t>
      </w:r>
      <w:r>
        <w:rPr>
          <w:rFonts w:ascii="Times New Roman" w:hAnsi="Times New Roman"/>
          <w:b w:val="false"/>
          <w:i w:val="false"/>
          <w:color w:val="000000"/>
          <w:sz w:val="21"/>
        </w:rPr>
        <w:t>, IAB 5/10/17, effective 6/14/17]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71.101.pdf" Type="http://schemas.openxmlformats.org/officeDocument/2006/relationships/hyperlink" Id="rId5"/>
    <Relationship TargetMode="External" Target="https://www.legis.iowa.gov/docs/iac/rule/571.102.2.pdf" Type="http://schemas.openxmlformats.org/officeDocument/2006/relationships/hyperlink" Id="rId6"/>
    <Relationship TargetMode="External" Target="https://www.legis.iowa.gov/docs/iac/rule/571.91.1.pdf" Type="http://schemas.openxmlformats.org/officeDocument/2006/relationships/hyperlink" Id="rId7"/>
    <Relationship TargetMode="External" Target="https://www.legis.iowa.gov/docs/iac/rule/571.91.2.pdf" Type="http://schemas.openxmlformats.org/officeDocument/2006/relationships/hyperlink" Id="rId8"/>
    <Relationship TargetMode="External" Target="https://www.legis.iowa.gov/docs/iac/rule/571.91.3.pdf" Type="http://schemas.openxmlformats.org/officeDocument/2006/relationships/hyperlink" Id="rId9"/>
    <Relationship TargetMode="External" Target="https://www.legis.iowa.gov/docs/iac/rule/571.97.1.pdf" Type="http://schemas.openxmlformats.org/officeDocument/2006/relationships/hyperlink" Id="rId10"/>
    <Relationship TargetMode="External" Target="https://www.legis.iowa.gov/docs/iac/rule/571.97.2.pdf" Type="http://schemas.openxmlformats.org/officeDocument/2006/relationships/hyperlink" Id="rId11"/>
    <Relationship TargetMode="External" Target="https://www.legis.iowa.gov/docs/iac/rule/571.97.3.pdf" Type="http://schemas.openxmlformats.org/officeDocument/2006/relationships/hyperlink" Id="rId12"/>
    <Relationship TargetMode="External" Target="https://www.legis.iowa.gov/docs/iac/chapter/571.91.pdf" Type="http://schemas.openxmlformats.org/officeDocument/2006/relationships/hyperlink" Id="rId13"/>
    <Relationship TargetMode="External" Target="https://www.legis.iowa.gov/docs/iac/chapter/571.96.pdf" Type="http://schemas.openxmlformats.org/officeDocument/2006/relationships/hyperlink" Id="rId14"/>
    <Relationship TargetMode="External" Target="https://www.legis.iowa.gov/docs/iac/chapter/571.97.pdf" Type="http://schemas.openxmlformats.org/officeDocument/2006/relationships/hyperlink" Id="rId15"/>
    <Relationship TargetMode="External" Target="https://www.legis.iowa.gov/docs/iac/chapter/571.107.pdf" Type="http://schemas.openxmlformats.org/officeDocument/2006/relationships/hyperlink" Id="rId16"/>
    <Relationship TargetMode="External" Target="https://www.legis.iowa.gov/docs/ico/chapter/481A.38.pdf" Type="http://schemas.openxmlformats.org/officeDocument/2006/relationships/hyperlink" Id="rId17"/>
    <Relationship TargetMode="External" Target="https://www.legis.iowa.gov/docs/ico/chapter/481A.39.pdf" Type="http://schemas.openxmlformats.org/officeDocument/2006/relationships/hyperlink" Id="rId18"/>
    <Relationship TargetMode="External" Target="https://www.legis.iowa.gov/docs/ico/chapter/481A.48.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