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CROW AND PIGEON REGULATIONS</w:t>
      </w:r>
    </w:p>
    <w:p>
      <w:pPr>
        <w:spacing w:before="0" w:after="0"/>
        <w:ind w:left="120"/>
        <w:jc w:val="center"/>
      </w:pPr>
      <w:r>
        <w:rPr>
          <w:rFonts w:ascii="Times New Roman" w:hAnsi="Times New Roman"/>
          <w:b w:val="false"/>
          <w:i w:val="false"/>
          <w:color w:val="000000"/>
          <w:sz w:val="14"/>
        </w:rPr>
        <w:t>[Ch 101—formally related to Mourning Dove Season]</w:t>
      </w:r>
    </w:p>
    <w:p>
      <w:pPr>
        <w:spacing w:before="0" w:after="0"/>
        <w:ind w:left="120"/>
        <w:jc w:val="center"/>
      </w:pPr>
      <w:r>
        <w:rPr>
          <w:rFonts w:ascii="Times New Roman" w:hAnsi="Times New Roman"/>
          <w:b w:val="false"/>
          <w:i w:val="false"/>
          <w:color w:val="000000"/>
          <w:sz w:val="14"/>
        </w:rPr>
        <w:t>[Prior to 12/31/86, Conservation Commission [290] Ch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571—100.1</w:t>
      </w:r>
      <w:r>
        <w:rPr>
          <w:rFonts w:ascii="Times New Roman" w:hAnsi="Times New Roman"/>
          <w:b/>
          <w:i w:val="false"/>
          <w:color w:val="000000"/>
          <w:sz w:val="22"/>
        </w:rPr>
        <w:t xml:space="preserve">(481A) </w:t>
      </w:r>
      <w:r>
        <w:rPr>
          <w:rFonts w:ascii="Times New Roman" w:hAnsi="Times New Roman"/>
          <w:b/>
          <w:i w:val="false"/>
          <w:color w:val="000000"/>
          <w:sz w:val="22"/>
        </w:rPr>
        <w:t xml:space="preserve">Crow season. </w:t>
      </w:r>
      <w:r>
        <w:rPr>
          <w:rFonts w:ascii="Times New Roman" w:hAnsi="Times New Roman"/>
          <w:b w:val="false"/>
          <w:i w:val="false"/>
          <w:color w:val="000000"/>
          <w:sz w:val="22"/>
        </w:rPr>
        <w:t>Open season for hunting crows shall be from October 15 through November 30 and January 14 through March 31 of each year. No bag or possession limit. Entire state open.</w:t>
      </w:r>
    </w:p>
    <w:p>
      <w:pPr>
        <w:spacing w:before="0" w:after="0"/>
        <w:ind w:left="120"/>
        <w:jc w:val="both"/>
      </w:pPr>
      <w:r>
        <w:rPr>
          <w:rFonts w:ascii="Times New Roman" w:hAnsi="Times New Roman"/>
          <w:b/>
          <w:i w:val="false"/>
          <w:color w:val="000000"/>
          <w:sz w:val="22"/>
        </w:rPr>
        <w:t>571—100.2</w:t>
      </w:r>
      <w:r>
        <w:rPr>
          <w:rFonts w:ascii="Times New Roman" w:hAnsi="Times New Roman"/>
          <w:b/>
          <w:i w:val="false"/>
          <w:color w:val="000000"/>
          <w:sz w:val="22"/>
        </w:rPr>
        <w:t xml:space="preserve">(481A) </w:t>
      </w:r>
      <w:r>
        <w:rPr>
          <w:rFonts w:ascii="Times New Roman" w:hAnsi="Times New Roman"/>
          <w:b/>
          <w:i w:val="false"/>
          <w:color w:val="000000"/>
          <w:sz w:val="22"/>
        </w:rPr>
        <w:t xml:space="preserve">Pigeons.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val="false"/>
          <w:color w:val="000000"/>
          <w:sz w:val="22"/>
        </w:rPr>
        <w:t>Pigeon season. There is a continuous open season for the taking of pigeons. No bag or possession limit. Entire state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val="false"/>
          <w:color w:val="000000"/>
          <w:sz w:val="22"/>
        </w:rPr>
        <w:t>Pigeons causing a health or safety hazard may be taken by trapping, or any current EPA and Iowa registered pesticide repellent, or toxic perches. Strychnine-based products cannot be used. The person or organization engaging in such a program will provide for proper removal and disposal of all pigeons taken by such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100.2(3)</w:t>
      </w:r>
      <w:r>
        <w:rPr>
          <w:rFonts w:ascii="Times New Roman" w:hAnsi="Times New Roman"/>
          <w:b w:val="false"/>
          <w:i w:val="false"/>
          <w:color w:val="000000"/>
          <w:sz w:val="22"/>
        </w:rPr>
        <w:t> </w:t>
      </w:r>
      <w:r>
        <w:rPr>
          <w:rFonts w:ascii="Times New Roman" w:hAnsi="Times New Roman"/>
          <w:b w:val="false"/>
          <w:i w:val="false"/>
          <w:color w:val="000000"/>
          <w:sz w:val="22"/>
        </w:rPr>
        <w:t>If a specific problem involving the use of a toxic substance or a procedure designed to destroy problem pigeons proves not to be species specific, the director, conservation officer or wildlife biologist will issue an immediate order to stop the particular method being employed or the substance being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0829C</w:t>
      </w:r>
      <w:r>
        <w:rPr>
          <w:rFonts w:ascii="Times New Roman" w:hAnsi="Times New Roman"/>
          <w:b w:val="false"/>
          <w:i w:val="false"/>
          <w:color w:val="000000"/>
          <w:sz w:val="16"/>
        </w:rPr>
        <w:t>, IAB 7/10/13, effective 8/14/13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7/9/81, Notice 3/4/81—published 8/5/81, effective 9/9/81]</w:t>
      </w:r>
    </w:p>
    <w:p>
      <w:pPr>
        <w:spacing w:before="0" w:after="0"/>
        <w:ind w:left="120"/>
        <w:jc w:val="center"/>
      </w:pPr>
      <w:r>
        <w:rPr>
          <w:rFonts w:ascii="Times New Roman" w:hAnsi="Times New Roman"/>
          <w:b w:val="false"/>
          <w:i w:val="false"/>
          <w:color w:val="000000"/>
          <w:sz w:val="21"/>
        </w:rPr>
        <w:t>[Filed 6/13/84, Notice 2/29/84—published 7/4/84, effective 9/1/84]</w:t>
      </w:r>
    </w:p>
    <w:p>
      <w:pPr>
        <w:spacing w:before="0" w:after="0"/>
        <w:ind w:left="120"/>
        <w:jc w:val="center"/>
      </w:pPr>
      <w:r>
        <w:rPr>
          <w:rFonts w:ascii="Times New Roman" w:hAnsi="Times New Roman"/>
          <w:b w:val="false"/>
          <w:i w:val="false"/>
          <w:color w:val="000000"/>
          <w:sz w:val="21"/>
        </w:rPr>
        <w:t>[Filed 6/11/86, Notice 2/26/86—published 7/2/86, effective 9/1/86]</w:t>
      </w:r>
    </w:p>
    <w:p>
      <w:pPr>
        <w:spacing w:before="0" w:after="0"/>
        <w:ind w:left="120"/>
        <w:jc w:val="center"/>
      </w:pPr>
      <w:r>
        <w:rPr>
          <w:rFonts w:ascii="Times New Roman" w:hAnsi="Times New Roman"/>
          <w:b w:val="false"/>
          <w:i w:val="false"/>
          <w:color w:val="000000"/>
          <w:sz w:val="21"/>
        </w:rPr>
        <w:t>[Filed 10/17/86, Notice 7/30/86—published 11/5/86, effective 12/10/86]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7/19/90, Notice 5/30/90—published 8/8/90, effective 9/12/90]</w:t>
      </w:r>
    </w:p>
    <w:p>
      <w:pPr>
        <w:spacing w:before="0" w:after="0"/>
        <w:ind w:left="120"/>
        <w:jc w:val="center"/>
      </w:pPr>
      <w:r>
        <w:rPr>
          <w:rFonts w:ascii="Times New Roman" w:hAnsi="Times New Roman"/>
          <w:b w:val="false"/>
          <w:i w:val="false"/>
          <w:color w:val="000000"/>
          <w:sz w:val="21"/>
        </w:rPr>
        <w:t>[Filed 5/7/93, Notice 3/31/93—published 5/26/93, effective 8/2/93]</w:t>
      </w:r>
    </w:p>
    <w:p>
      <w:pPr>
        <w:spacing w:before="0" w:after="0"/>
        <w:ind w:left="120"/>
        <w:jc w:val="center"/>
      </w:pPr>
      <w:r>
        <w:rPr>
          <w:rFonts w:ascii="Times New Roman" w:hAnsi="Times New Roman"/>
          <w:b w:val="false"/>
          <w:i w:val="false"/>
          <w:color w:val="000000"/>
          <w:sz w:val="21"/>
        </w:rPr>
        <w:t>[Filed ARC 0829C</w:t>
      </w:r>
      <w:r>
        <w:rPr>
          <w:rFonts w:ascii="Times New Roman" w:hAnsi="Times New Roman"/>
          <w:b w:val="false"/>
          <w:i w:val="false"/>
          <w:color w:val="000000"/>
          <w:sz w:val="21"/>
        </w:rPr>
        <w:t xml:space="preserve"> (Notice ARC 0719C, IAB 5/1/13)</w:t>
      </w:r>
      <w:r>
        <w:rPr>
          <w:rFonts w:ascii="Times New Roman" w:hAnsi="Times New Roman"/>
          <w:b w:val="false"/>
          <w:i w:val="false"/>
          <w:color w:val="000000"/>
          <w:sz w:val="21"/>
        </w:rPr>
        <w:t>, IAB 7/10/13, effective 8/14/13]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1A.48.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