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w:t>
      </w:r>
    </w:p>
    <w:p>
      <w:pPr>
        <w:spacing w:before="0" w:after="0"/>
        <w:ind w:left="120"/>
        <w:jc w:val="center"/>
      </w:pPr>
      <w:r>
        <w:rPr>
          <w:rFonts w:ascii="Times New Roman" w:hAnsi="Times New Roman"/>
          <w:b w:val="false"/>
          <w:i w:val="false"/>
          <w:color w:val="000000"/>
          <w:sz w:val="21"/>
        </w:rPr>
        <w:t>PUBLIC RECORDS AND FAIR INFORMATION PRACTICES</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val="false"/>
          <w:i w:val="false"/>
          <w:color w:val="000000"/>
          <w:sz w:val="22"/>
        </w:rPr>
        <w:t>The state appeal board hereby adopts, with the following exceptions and amendments, rules of the Governor’s Task Force on Uniform Rules of Agency Procedure relating to public records and fair information practices which are printed in the first volume of the Iowa Administrative Code.</w:t>
      </w:r>
    </w:p>
    <w:p>
      <w:pPr>
        <w:spacing w:before="0" w:after="0"/>
        <w:ind w:left="120"/>
        <w:jc w:val="both"/>
      </w:pPr>
      <w:r>
        <w:rPr>
          <w:rFonts w:ascii="Times New Roman" w:hAnsi="Times New Roman"/>
          <w:b/>
          <w:i w:val="false"/>
          <w:color w:val="000000"/>
          <w:sz w:val="22"/>
        </w:rPr>
        <w:t>543—6.1</w:t>
      </w:r>
      <w:r>
        <w:rPr>
          <w:rFonts w:ascii="Times New Roman" w:hAnsi="Times New Roman"/>
          <w:b/>
          <w:i w:val="false"/>
          <w:color w:val="000000"/>
          <w:sz w:val="22"/>
        </w:rPr>
        <w:t xml:space="preserve">(17A,22)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“Agency.” </w:t>
      </w:r>
      <w:r>
        <w:rPr>
          <w:rFonts w:ascii="Times New Roman" w:hAnsi="Times New Roman"/>
          <w:b w:val="false"/>
          <w:i w:val="false"/>
          <w:color w:val="000000"/>
          <w:sz w:val="22"/>
        </w:rPr>
        <w:t>In lieu of the words “(official or body issuing these rules)” insert “state appeal board”. As used in these rules, unless the context otherwise requires, “board” means the state appeal board.</w:t>
      </w:r>
    </w:p>
    <w:p>
      <w:pPr>
        <w:spacing w:before="0" w:after="0"/>
        <w:ind w:left="120"/>
        <w:jc w:val="both"/>
      </w:pPr>
      <w:r>
        <w:rPr>
          <w:rFonts w:ascii="Times New Roman" w:hAnsi="Times New Roman"/>
          <w:b/>
          <w:i w:val="false"/>
          <w:color w:val="000000"/>
          <w:sz w:val="22"/>
        </w:rPr>
        <w:t>543—6.3</w:t>
      </w:r>
      <w:r>
        <w:rPr>
          <w:rFonts w:ascii="Times New Roman" w:hAnsi="Times New Roman"/>
          <w:b/>
          <w:i w:val="false"/>
          <w:color w:val="000000"/>
          <w:sz w:val="22"/>
        </w:rPr>
        <w:t xml:space="preserve">(17A,22) </w:t>
      </w:r>
      <w:r>
        <w:rPr>
          <w:rFonts w:ascii="Times New Roman" w:hAnsi="Times New Roman"/>
          <w:b/>
          <w:i w:val="false"/>
          <w:color w:val="000000"/>
          <w:sz w:val="22"/>
        </w:rPr>
        <w:t xml:space="preserve">Requests for access to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w:t>
      </w:r>
      <w:r>
        <w:rPr>
          <w:rFonts w:ascii="Times New Roman" w:hAnsi="Times New Roman"/>
          <w:b w:val="false"/>
          <w:i w:val="false"/>
          <w:color w:val="000000"/>
          <w:sz w:val="22"/>
        </w:rPr>
        <w:t> </w:t>
      </w:r>
      <w:r>
        <w:rPr>
          <w:rFonts w:ascii="Times New Roman" w:hAnsi="Times New Roman"/>
          <w:b w:val="false"/>
          <w:i/>
          <w:color w:val="000000"/>
          <w:sz w:val="22"/>
        </w:rPr>
        <w:t xml:space="preserve">Location of record. </w:t>
      </w:r>
      <w:r>
        <w:rPr>
          <w:rFonts w:ascii="Times New Roman" w:hAnsi="Times New Roman"/>
          <w:b w:val="false"/>
          <w:i w:val="false"/>
          <w:color w:val="000000"/>
          <w:sz w:val="22"/>
        </w:rPr>
        <w:t>In lieu of the words “(insert agency head)” insert “state appeal board, department of management”, and in lieu of the words “(insert agency name and address)”, insert “State Appeal Board, Department of Management, State Capitol Building, Des Moines, Iowa 50319”.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w:t>
      </w:r>
      <w:r>
        <w:rPr>
          <w:rFonts w:ascii="Times New Roman" w:hAnsi="Times New Roman"/>
          <w:b w:val="false"/>
          <w:i w:val="false"/>
          <w:color w:val="000000"/>
          <w:sz w:val="22"/>
        </w:rPr>
        <w:t> </w:t>
      </w:r>
      <w:r>
        <w:rPr>
          <w:rFonts w:ascii="Times New Roman" w:hAnsi="Times New Roman"/>
          <w:b w:val="false"/>
          <w:i/>
          <w:color w:val="000000"/>
          <w:sz w:val="22"/>
        </w:rPr>
        <w:t xml:space="preserve">Office hours. </w:t>
      </w:r>
      <w:r>
        <w:rPr>
          <w:rFonts w:ascii="Times New Roman" w:hAnsi="Times New Roman"/>
          <w:b w:val="false"/>
          <w:i w:val="false"/>
          <w:color w:val="000000"/>
          <w:sz w:val="22"/>
        </w:rPr>
        <w:t xml:space="preserve">In lieu of the words “(insert customary office hours of at least thirty hours per week, insert hours specified in Iowa Code section </w:t>
      </w:r>
      <w:hyperlink r:id="rId5">
        <w:r>
          <w:rPr>
            <w:rStyle w:val="Hyperlink"/>
            <w:rFonts w:ascii="Times New Roman" w:hAnsi="Times New Roman"/>
            <w:b w:val="false"/>
            <w:i w:val="false"/>
            <w:color w:val="000000"/>
            <w:sz w:val="22"/>
          </w:rPr>
          <w:t>22.4</w:t>
        </w:r>
      </w:hyperlink>
      <w:r>
        <w:rPr>
          <w:rFonts w:ascii="Times New Roman" w:hAnsi="Times New Roman"/>
          <w:b w:val="false"/>
          <w:i w:val="false"/>
          <w:color w:val="000000"/>
          <w:sz w:val="22"/>
        </w:rPr>
        <w:t>)”, insert “8 a.m.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to 4:30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daily, excluding Saturdays, Sundays, and legal holidays”.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6.3(7)</w:t>
      </w:r>
      <w:r>
        <w:rPr>
          <w:rFonts w:ascii="Times New Roman" w:hAnsi="Times New Roman"/>
          <w:b w:val="false"/>
          <w:i w:val="false"/>
          <w:color w:val="000000"/>
          <w:sz w:val="22"/>
        </w:rPr>
        <w:t> </w:t>
      </w:r>
      <w:r>
        <w:rPr>
          <w:rFonts w:ascii="Times New Roman" w:hAnsi="Times New Roman"/>
          <w:b w:val="false"/>
          <w:i/>
          <w:color w:val="000000"/>
          <w:sz w:val="22"/>
        </w:rPr>
        <w:t xml:space="preserve">Fees.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Supervisory fee. </w:t>
      </w:r>
      <w:r>
        <w:rPr>
          <w:rFonts w:ascii="Times New Roman" w:hAnsi="Times New Roman"/>
          <w:b w:val="false"/>
          <w:i w:val="false"/>
          <w:color w:val="000000"/>
          <w:sz w:val="22"/>
        </w:rPr>
        <w:t>In lieu of the words “(specify time period)”, insert “thirty minutes”.</w:t>
      </w:r>
    </w:p>
    <w:p>
      <w:pPr>
        <w:spacing w:before="0" w:after="0"/>
        <w:ind w:left="120"/>
        <w:jc w:val="both"/>
      </w:pPr>
      <w:r>
        <w:rPr>
          <w:rFonts w:ascii="Times New Roman" w:hAnsi="Times New Roman"/>
          <w:b/>
          <w:i w:val="false"/>
          <w:color w:val="000000"/>
          <w:sz w:val="22"/>
        </w:rPr>
        <w:t>543—6.9</w:t>
      </w:r>
      <w:r>
        <w:rPr>
          <w:rFonts w:ascii="Times New Roman" w:hAnsi="Times New Roman"/>
          <w:b/>
          <w:i w:val="false"/>
          <w:color w:val="000000"/>
          <w:sz w:val="22"/>
        </w:rPr>
        <w:t xml:space="preserve">(17A,22) </w:t>
      </w:r>
      <w:r>
        <w:rPr>
          <w:rFonts w:ascii="Times New Roman" w:hAnsi="Times New Roman"/>
          <w:b/>
          <w:i w:val="false"/>
          <w:color w:val="000000"/>
          <w:sz w:val="22"/>
        </w:rPr>
        <w:t xml:space="preserve">Disclosures without the consent of the subject.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w:t>
      </w:r>
      <w:r>
        <w:rPr>
          <w:rFonts w:ascii="Times New Roman" w:hAnsi="Times New Roman"/>
          <w:b w:val="false"/>
          <w:i w:val="false"/>
          <w:color w:val="000000"/>
          <w:sz w:val="22"/>
        </w:rPr>
        <w:t> </w:t>
      </w:r>
      <w:r>
        <w:rPr>
          <w:rFonts w:ascii="Times New Roman" w:hAnsi="Times New Roman"/>
          <w:b w:val="false"/>
          <w:i w:val="false"/>
          <w:color w:val="000000"/>
          <w:sz w:val="22"/>
        </w:rPr>
        <w:t>Open records are routinely disclosed without the consent of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w:t>
      </w:r>
      <w:r>
        <w:rPr>
          <w:rFonts w:ascii="Times New Roman" w:hAnsi="Times New Roman"/>
          <w:b w:val="false"/>
          <w:i w:val="false"/>
          <w:color w:val="000000"/>
          <w:sz w:val="22"/>
        </w:rPr>
        <w:t> </w:t>
      </w:r>
      <w:r>
        <w:rPr>
          <w:rFonts w:ascii="Times New Roman" w:hAnsi="Times New Roman"/>
          <w:b w:val="false"/>
          <w:i w:val="false"/>
          <w:color w:val="000000"/>
          <w:sz w:val="22"/>
        </w:rPr>
        <w:t>To the extent allowed by law, disclosure of confidential records may occur without the consent of the subject. Following are instances where disclosure, if lawful, will generally occur without notice to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routine use as defined in </w:t>
      </w:r>
      <w:hyperlink r:id="rId6">
        <w:r>
          <w:rPr>
            <w:rStyle w:val="Hyperlink"/>
            <w:rFonts w:ascii="Times New Roman" w:hAnsi="Times New Roman"/>
            <w:b w:val="false"/>
            <w:i w:val="false"/>
            <w:color w:val="000000"/>
            <w:sz w:val="22"/>
          </w:rPr>
          <w:t>rule 6.10(17A,22)</w:t>
        </w:r>
      </w:hyperlink>
      <w:r>
        <w:rPr>
          <w:rFonts w:ascii="Times New Roman" w:hAnsi="Times New Roman"/>
          <w:b w:val="false"/>
          <w:i w:val="false"/>
          <w:color w:val="000000"/>
          <w:sz w:val="22"/>
        </w:rPr>
        <w:t xml:space="preserve"> or in any notice for a particular record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a recipient who has provided the board with advance written assurance that the record will be used solely as a statistical research or reporting record; provided that the record is transferred in a form that does not identify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another government agency or to an instrumentality of any governmental jurisdiction within or under the control of the United States for a civil or criminal law enforcement activity if the activity is authorized by law, and if an authorized representative of such government agency or instrumentality has submitted a written request to the agency specifying the record desired and the law enforcement activity for which the record is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To an individual pursuant to a showing of compelling circumstances affecting the health or safety of any individual if a notice of the disclosure is transmitted to the last-known address of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To the legislative services agency under Iowa Code section </w:t>
      </w:r>
      <w:hyperlink r:id="rId7">
        <w:r>
          <w:rPr>
            <w:rStyle w:val="Hyperlink"/>
            <w:rFonts w:ascii="Times New Roman" w:hAnsi="Times New Roman"/>
            <w:b w:val="false"/>
            <w:i w:val="false"/>
            <w:color w:val="000000"/>
            <w:sz w:val="22"/>
          </w:rPr>
          <w:t>2A.3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Disclosures in the course of employee disciplinary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 response to a court order or subpoena.</w:t>
      </w:r>
    </w:p>
    <w:p>
      <w:pPr>
        <w:spacing w:before="0" w:after="0"/>
        <w:ind w:left="120"/>
        <w:jc w:val="both"/>
      </w:pPr>
      <w:r>
        <w:rPr>
          <w:rFonts w:ascii="Times New Roman" w:hAnsi="Times New Roman"/>
          <w:b/>
          <w:i w:val="false"/>
          <w:color w:val="000000"/>
          <w:sz w:val="22"/>
        </w:rPr>
        <w:t>543—6.10</w:t>
      </w:r>
      <w:r>
        <w:rPr>
          <w:rFonts w:ascii="Times New Roman" w:hAnsi="Times New Roman"/>
          <w:b/>
          <w:i w:val="false"/>
          <w:color w:val="000000"/>
          <w:sz w:val="22"/>
        </w:rPr>
        <w:t xml:space="preserve">(17A,22) </w:t>
      </w:r>
      <w:r>
        <w:rPr>
          <w:rFonts w:ascii="Times New Roman" w:hAnsi="Times New Roman"/>
          <w:b/>
          <w:i w:val="false"/>
          <w:color w:val="000000"/>
          <w:sz w:val="22"/>
        </w:rPr>
        <w:t xml:space="preserve">Routine use.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6.10(1)</w:t>
      </w:r>
      <w:r>
        <w:rPr>
          <w:rFonts w:ascii="Times New Roman" w:hAnsi="Times New Roman"/>
          <w:b w:val="false"/>
          <w:i w:val="false"/>
          <w:color w:val="000000"/>
          <w:sz w:val="22"/>
        </w:rPr>
        <w:t> </w:t>
      </w:r>
      <w:r>
        <w:rPr>
          <w:rFonts w:ascii="Times New Roman" w:hAnsi="Times New Roman"/>
          <w:b w:val="false"/>
          <w:i w:val="false"/>
          <w:color w:val="000000"/>
          <w:sz w:val="22"/>
        </w:rPr>
        <w:t xml:space="preserve">Defined. “Routine use” means the disclosure of a record without the consent of the subject or subjects, for a purpose which is compatible with the purpose for which the record was collected. It includes disclosures required to be made by statute other than the public records law, Iowa Code chapter </w:t>
      </w:r>
      <w:hyperlink r:id="rId8">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6.10(2)</w:t>
      </w:r>
      <w:r>
        <w:rPr>
          <w:rFonts w:ascii="Times New Roman" w:hAnsi="Times New Roman"/>
          <w:b w:val="false"/>
          <w:i w:val="false"/>
          <w:color w:val="000000"/>
          <w:sz w:val="22"/>
        </w:rPr>
        <w:t> </w:t>
      </w:r>
      <w:r>
        <w:rPr>
          <w:rFonts w:ascii="Times New Roman" w:hAnsi="Times New Roman"/>
          <w:b w:val="false"/>
          <w:i w:val="false"/>
          <w:color w:val="000000"/>
          <w:sz w:val="22"/>
        </w:rPr>
        <w:t>To the extent allowed by law, the following uses are considered routine uses of all agency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Disclosure to those officers, employees, and agents of the agency who have a need for the record in the performance of their duties. The custodian of the record may upon request of any officer or employee, or on the custodian’s own initiative, determine what constitutes legitimate need to use confidential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Disclosure of information indicating an apparent violation of the law to appropriate law enforcement authorities for investigation and possible criminal prosecution, civil court action, or regulatory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Disclosure to the department of inspections and appeals for matters in which it is performing services or functions on behalf of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Transfers of information within the agency, to other state agencies, or to local units of government as appropriate to administer the program for which the information is collected.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Information released to staff of federal and state entities for audit purposes or for purposes of determining whether the agency is operating a program lawfully.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disclosure specifically authorized by the statute under which the record was collected or maintained.</w:t>
      </w:r>
    </w:p>
    <w:p>
      <w:pPr>
        <w:spacing w:before="0" w:after="0"/>
        <w:ind w:left="120"/>
        <w:jc w:val="both"/>
      </w:pPr>
      <w:r>
        <w:rPr>
          <w:rFonts w:ascii="Times New Roman" w:hAnsi="Times New Roman"/>
          <w:b/>
          <w:i w:val="false"/>
          <w:color w:val="000000"/>
          <w:sz w:val="22"/>
        </w:rPr>
        <w:t>543—6.11</w:t>
      </w:r>
      <w:r>
        <w:rPr>
          <w:rFonts w:ascii="Times New Roman" w:hAnsi="Times New Roman"/>
          <w:b/>
          <w:i w:val="false"/>
          <w:color w:val="000000"/>
          <w:sz w:val="22"/>
        </w:rPr>
        <w:t xml:space="preserve">(17A,22) </w:t>
      </w:r>
      <w:r>
        <w:rPr>
          <w:rFonts w:ascii="Times New Roman" w:hAnsi="Times New Roman"/>
          <w:b/>
          <w:i w:val="false"/>
          <w:color w:val="000000"/>
          <w:sz w:val="22"/>
        </w:rPr>
        <w:t xml:space="preserve">Consensual disclosure of confidential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6.11(1)</w:t>
      </w:r>
      <w:r>
        <w:rPr>
          <w:rFonts w:ascii="Times New Roman" w:hAnsi="Times New Roman"/>
          <w:b w:val="false"/>
          <w:i w:val="false"/>
          <w:color w:val="000000"/>
          <w:sz w:val="22"/>
        </w:rPr>
        <w:t> </w:t>
      </w:r>
      <w:r>
        <w:rPr>
          <w:rFonts w:ascii="Times New Roman" w:hAnsi="Times New Roman"/>
          <w:b w:val="false"/>
          <w:i/>
          <w:color w:val="000000"/>
          <w:sz w:val="22"/>
        </w:rPr>
        <w:t xml:space="preserve">Consent to disclosure by a subject individual. </w:t>
      </w:r>
      <w:r>
        <w:rPr>
          <w:rFonts w:ascii="Times New Roman" w:hAnsi="Times New Roman"/>
          <w:b w:val="false"/>
          <w:i w:val="false"/>
          <w:color w:val="000000"/>
          <w:sz w:val="22"/>
        </w:rPr>
        <w:t>To the extent permitted by law, the subject may consent in writing to agency disclosure of confidential records as provided in rule 6.7(17A,22).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6.11(2)</w:t>
      </w:r>
      <w:r>
        <w:rPr>
          <w:rFonts w:ascii="Times New Roman" w:hAnsi="Times New Roman"/>
          <w:b w:val="false"/>
          <w:i w:val="false"/>
          <w:color w:val="000000"/>
          <w:sz w:val="22"/>
        </w:rPr>
        <w:t> </w:t>
      </w:r>
      <w:r>
        <w:rPr>
          <w:rFonts w:ascii="Times New Roman" w:hAnsi="Times New Roman"/>
          <w:b w:val="false"/>
          <w:i/>
          <w:color w:val="000000"/>
          <w:sz w:val="22"/>
        </w:rPr>
        <w:t xml:space="preserve">Complaints to public officials. </w:t>
      </w:r>
      <w:r>
        <w:rPr>
          <w:rFonts w:ascii="Times New Roman" w:hAnsi="Times New Roman"/>
          <w:b w:val="false"/>
          <w:i w:val="false"/>
          <w:color w:val="000000"/>
          <w:sz w:val="22"/>
        </w:rPr>
        <w:t>A letter from a subject of a confidential record to a public official which seeks the official’s intervention on behalf of the subject in a matter that involves the board may, to the extent permitted by law, be treated as an authorization to release sufficient information about the subject to the official to resolve the matter.</w:t>
      </w:r>
    </w:p>
    <w:p>
      <w:pPr>
        <w:spacing w:before="0" w:after="0"/>
        <w:ind w:left="120"/>
        <w:jc w:val="both"/>
      </w:pPr>
      <w:r>
        <w:rPr>
          <w:rFonts w:ascii="Times New Roman" w:hAnsi="Times New Roman"/>
          <w:b/>
          <w:i w:val="false"/>
          <w:color w:val="000000"/>
          <w:sz w:val="22"/>
        </w:rPr>
        <w:t>543—6.12</w:t>
      </w:r>
      <w:r>
        <w:rPr>
          <w:rFonts w:ascii="Times New Roman" w:hAnsi="Times New Roman"/>
          <w:b/>
          <w:i w:val="false"/>
          <w:color w:val="000000"/>
          <w:sz w:val="22"/>
        </w:rPr>
        <w:t xml:space="preserve">(17A,22) </w:t>
      </w:r>
      <w:r>
        <w:rPr>
          <w:rFonts w:ascii="Times New Roman" w:hAnsi="Times New Roman"/>
          <w:b/>
          <w:i w:val="false"/>
          <w:color w:val="000000"/>
          <w:sz w:val="22"/>
        </w:rPr>
        <w:t xml:space="preserve">Release to subject.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6.12(1)</w:t>
      </w:r>
      <w:r>
        <w:rPr>
          <w:rFonts w:ascii="Times New Roman" w:hAnsi="Times New Roman"/>
          <w:b w:val="false"/>
          <w:i w:val="false"/>
          <w:color w:val="000000"/>
          <w:sz w:val="22"/>
        </w:rPr>
        <w:t> </w:t>
      </w:r>
      <w:r>
        <w:rPr>
          <w:rFonts w:ascii="Times New Roman" w:hAnsi="Times New Roman"/>
          <w:b w:val="false"/>
          <w:i w:val="false"/>
          <w:color w:val="000000"/>
          <w:sz w:val="22"/>
        </w:rPr>
        <w:t>The subject of a confidential record may file a written request to review confidential records about that person as provided in rule 6.6(17A,22). However, the board need not release the following records to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identity of a person providing information to the board need not be disclosed directly or indirectly to the subject of the information when the information is authorized to be held confidential pursuant to Iowa Code section </w:t>
      </w:r>
      <w:hyperlink r:id="rId9">
        <w:r>
          <w:rPr>
            <w:rStyle w:val="Hyperlink"/>
            <w:rFonts w:ascii="Times New Roman" w:hAnsi="Times New Roman"/>
            <w:b w:val="false"/>
            <w:i w:val="false"/>
            <w:color w:val="000000"/>
            <w:sz w:val="22"/>
          </w:rPr>
          <w:t>22.7(18)</w:t>
        </w:r>
      </w:hyperlink>
      <w:r>
        <w:rPr>
          <w:rFonts w:ascii="Times New Roman" w:hAnsi="Times New Roman"/>
          <w:b w:val="false"/>
          <w:i w:val="false"/>
          <w:color w:val="000000"/>
          <w:sz w:val="22"/>
        </w:rPr>
        <w:t xml:space="preserve"> or other provision of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Records need not be disclosed to the subject when they are the work product of an attorney or are otherwise privileged.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Peace officers’ investigative reports may be withheld from the subject, except as required by the Iowa Code. (See Iowa Code section </w:t>
      </w:r>
      <w:hyperlink r:id="rId10">
        <w:r>
          <w:rPr>
            <w:rStyle w:val="Hyperlink"/>
            <w:rFonts w:ascii="Times New Roman" w:hAnsi="Times New Roman"/>
            <w:b w:val="false"/>
            <w:i w:val="false"/>
            <w:color w:val="000000"/>
            <w:sz w:val="22"/>
          </w:rPr>
          <w:t>22.7(5)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As otherwise authorized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6.12(2)</w:t>
      </w:r>
      <w:r>
        <w:rPr>
          <w:rFonts w:ascii="Times New Roman" w:hAnsi="Times New Roman"/>
          <w:b w:val="false"/>
          <w:i w:val="false"/>
          <w:color w:val="000000"/>
          <w:sz w:val="22"/>
        </w:rPr>
        <w:t> </w:t>
      </w:r>
      <w:r>
        <w:rPr>
          <w:rFonts w:ascii="Times New Roman" w:hAnsi="Times New Roman"/>
          <w:b w:val="false"/>
          <w:i w:val="false"/>
          <w:color w:val="000000"/>
          <w:sz w:val="22"/>
        </w:rPr>
        <w:t>Where a record has multiple subjects with interest in the confidentiality of the record, the board may take reasonable steps to protect confidential information relating to another subject.</w:t>
      </w:r>
    </w:p>
    <w:p>
      <w:pPr>
        <w:spacing w:before="0" w:after="0"/>
        <w:ind w:left="120"/>
        <w:jc w:val="both"/>
      </w:pPr>
      <w:r>
        <w:rPr>
          <w:rFonts w:ascii="Times New Roman" w:hAnsi="Times New Roman"/>
          <w:b/>
          <w:i w:val="false"/>
          <w:color w:val="000000"/>
          <w:sz w:val="22"/>
        </w:rPr>
        <w:t>543—6.13</w:t>
      </w:r>
      <w:r>
        <w:rPr>
          <w:rFonts w:ascii="Times New Roman" w:hAnsi="Times New Roman"/>
          <w:b/>
          <w:i w:val="false"/>
          <w:color w:val="000000"/>
          <w:sz w:val="22"/>
        </w:rPr>
        <w:t xml:space="preserve">(17A,22) </w:t>
      </w:r>
      <w:r>
        <w:rPr>
          <w:rFonts w:ascii="Times New Roman" w:hAnsi="Times New Roman"/>
          <w:b/>
          <w:i w:val="false"/>
          <w:color w:val="000000"/>
          <w:sz w:val="22"/>
        </w:rPr>
        <w:t xml:space="preserve">Availability of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Board records are open for public inspection and copying unless otherwise provided by rule or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6.13(2)</w:t>
      </w:r>
      <w:r>
        <w:rPr>
          <w:rFonts w:ascii="Times New Roman" w:hAnsi="Times New Roman"/>
          <w:b w:val="false"/>
          <w:i w:val="false"/>
          <w:color w:val="000000"/>
          <w:sz w:val="22"/>
        </w:rPr>
        <w:t> </w:t>
      </w:r>
      <w:r>
        <w:rPr>
          <w:rFonts w:ascii="Times New Roman" w:hAnsi="Times New Roman"/>
          <w:b w:val="false"/>
          <w:i/>
          <w:color w:val="000000"/>
          <w:sz w:val="22"/>
        </w:rPr>
        <w:t xml:space="preserve">Confidential records. </w:t>
      </w:r>
      <w:r>
        <w:rPr>
          <w:rFonts w:ascii="Times New Roman" w:hAnsi="Times New Roman"/>
          <w:b w:val="false"/>
          <w:i w:val="false"/>
          <w:color w:val="000000"/>
          <w:sz w:val="22"/>
        </w:rPr>
        <w:t>The state appeal board may withhold recommendations from the attorney general’s office when advice is given regarding appeal board claims, based on attorney/client privilege.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6.13(3)</w:t>
      </w:r>
      <w:r>
        <w:rPr>
          <w:rFonts w:ascii="Times New Roman" w:hAnsi="Times New Roman"/>
          <w:b w:val="false"/>
          <w:i w:val="false"/>
          <w:color w:val="000000"/>
          <w:sz w:val="22"/>
        </w:rPr>
        <w:t> </w:t>
      </w:r>
      <w:r>
        <w:rPr>
          <w:rFonts w:ascii="Times New Roman" w:hAnsi="Times New Roman"/>
          <w:b w:val="false"/>
          <w:i/>
          <w:color w:val="000000"/>
          <w:sz w:val="22"/>
        </w:rPr>
        <w:t xml:space="preserve">Authority to release confidential records. </w:t>
      </w:r>
      <w:r>
        <w:rPr>
          <w:rFonts w:ascii="Times New Roman" w:hAnsi="Times New Roman"/>
          <w:b w:val="false"/>
          <w:i w:val="false"/>
          <w:color w:val="000000"/>
          <w:sz w:val="22"/>
        </w:rPr>
        <w:t xml:space="preserve">The board may have discretion to disclose some confidential records which are exempt from disclosure under Iowa Code section </w:t>
      </w:r>
      <w:hyperlink r:id="rId11">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or other law.</w:t>
      </w:r>
    </w:p>
    <w:p>
      <w:pPr>
        <w:spacing w:before="0" w:after="0"/>
        <w:ind w:left="120"/>
        <w:jc w:val="both"/>
      </w:pPr>
      <w:r>
        <w:rPr>
          <w:rFonts w:ascii="Times New Roman" w:hAnsi="Times New Roman"/>
          <w:b w:val="false"/>
          <w:i w:val="false"/>
          <w:color w:val="000000"/>
          <w:sz w:val="22"/>
        </w:rPr>
        <w:t>Any person may request permission to inspect records withheld from inspection under a statute which authorizes limited or discretionary disclosure as provided in rule 6.4(17A,22). If the agency initially determines that it will release such records, the agency may, where appropriate, notify interested parties and withhold the records from inspection as provided in subrule 6.4(3).</w:t>
      </w:r>
    </w:p>
    <w:p>
      <w:pPr>
        <w:spacing w:before="210" w:after="0"/>
        <w:ind w:left="120"/>
        <w:jc w:val="both"/>
      </w:pPr>
      <w:r>
        <w:rPr>
          <w:rFonts w:ascii="Times New Roman" w:hAnsi="Times New Roman"/>
          <w:b/>
          <w:i w:val="false"/>
          <w:color w:val="000000"/>
          <w:sz w:val="22"/>
        </w:rPr>
        <w:t>543—6.14</w:t>
      </w:r>
      <w:r>
        <w:rPr>
          <w:rFonts w:ascii="Times New Roman" w:hAnsi="Times New Roman"/>
          <w:b/>
          <w:i w:val="false"/>
          <w:color w:val="000000"/>
          <w:sz w:val="22"/>
        </w:rPr>
        <w:t xml:space="preserve">(17A,22) </w:t>
      </w:r>
      <w:r>
        <w:rPr>
          <w:rFonts w:ascii="Times New Roman" w:hAnsi="Times New Roman"/>
          <w:b/>
          <w:i w:val="false"/>
          <w:color w:val="000000"/>
          <w:sz w:val="22"/>
        </w:rPr>
        <w:t xml:space="preserve">Personally identifiable information. </w:t>
      </w:r>
      <w:r>
        <w:rPr>
          <w:rFonts w:ascii="Times New Roman" w:hAnsi="Times New Roman"/>
          <w:b w:val="false"/>
          <w:i w:val="false"/>
          <w:color w:val="000000"/>
          <w:sz w:val="22"/>
        </w:rPr>
        <w:t>The state appeal board does not maintain any records that could be considered personally identifiable.</w:t>
      </w:r>
    </w:p>
    <w:p>
      <w:pPr>
        <w:spacing w:before="210" w:after="0"/>
        <w:ind w:left="120"/>
        <w:jc w:val="both"/>
      </w:pPr>
      <w:r>
        <w:rPr>
          <w:rFonts w:ascii="Times New Roman" w:hAnsi="Times New Roman"/>
          <w:b/>
          <w:i w:val="false"/>
          <w:color w:val="000000"/>
          <w:sz w:val="22"/>
        </w:rPr>
        <w:t>543—6.15</w:t>
      </w:r>
      <w:r>
        <w:rPr>
          <w:rFonts w:ascii="Times New Roman" w:hAnsi="Times New Roman"/>
          <w:b/>
          <w:i w:val="false"/>
          <w:color w:val="000000"/>
          <w:sz w:val="22"/>
        </w:rPr>
        <w:t xml:space="preserve">(17A,22) </w:t>
      </w:r>
      <w:r>
        <w:rPr>
          <w:rFonts w:ascii="Times New Roman" w:hAnsi="Times New Roman"/>
          <w:b/>
          <w:i w:val="false"/>
          <w:color w:val="000000"/>
          <w:sz w:val="22"/>
        </w:rPr>
        <w:t xml:space="preserve">Data processing systems. </w:t>
      </w:r>
      <w:r>
        <w:rPr>
          <w:rFonts w:ascii="Times New Roman" w:hAnsi="Times New Roman"/>
          <w:b w:val="false"/>
          <w:i w:val="false"/>
          <w:color w:val="000000"/>
          <w:sz w:val="22"/>
        </w:rPr>
        <w:t>None of the data processing systems used by the agency permit the comparison of personally identifiable information in one record system with personally identifiable information in another record system.</w:t>
      </w:r>
    </w:p>
    <w:p>
      <w:pPr>
        <w:spacing w:before="210" w:after="0"/>
        <w:ind w:left="120"/>
        <w:jc w:val="both"/>
      </w:pPr>
      <w:r>
        <w:rPr>
          <w:rFonts w:ascii="Times New Roman" w:hAnsi="Times New Roman"/>
          <w:b/>
          <w:i w:val="false"/>
          <w:color w:val="000000"/>
          <w:sz w:val="22"/>
        </w:rPr>
        <w:t>543—6.16</w:t>
      </w:r>
      <w:r>
        <w:rPr>
          <w:rFonts w:ascii="Times New Roman" w:hAnsi="Times New Roman"/>
          <w:b/>
          <w:i w:val="false"/>
          <w:color w:val="000000"/>
          <w:sz w:val="22"/>
        </w:rPr>
        <w:t xml:space="preserve">(17A,22) </w:t>
      </w:r>
      <w:r>
        <w:rPr>
          <w:rFonts w:ascii="Times New Roman" w:hAnsi="Times New Roman"/>
          <w:b/>
          <w:i w:val="false"/>
          <w:color w:val="000000"/>
          <w:sz w:val="22"/>
        </w:rPr>
        <w:t xml:space="preserve">Other records. </w:t>
      </w:r>
      <w:r>
        <w:rPr>
          <w:rFonts w:ascii="Times New Roman" w:hAnsi="Times New Roman"/>
          <w:b w:val="false"/>
          <w:i w:val="false"/>
          <w:color w:val="000000"/>
          <w:sz w:val="22"/>
        </w:rPr>
        <w:t>The board maintains a variety of records which do not generally contain information pertaining to named individuals. The board maintains the following records, not heretofore listed, which do not generally contain personally identifiable or confidential information: Minutes from meetings, budget protests, and budget hearings.</w:t>
      </w:r>
    </w:p>
    <w:p>
      <w:pPr>
        <w:spacing w:before="0" w:after="0"/>
        <w:ind w:left="120"/>
        <w:jc w:val="both"/>
      </w:pPr>
      <w:r>
        <w:rPr>
          <w:rFonts w:ascii="Times New Roman" w:hAnsi="Times New Roman"/>
          <w:b/>
          <w:i w:val="false"/>
          <w:color w:val="000000"/>
          <w:sz w:val="22"/>
        </w:rPr>
        <w:t>543—6.17</w:t>
      </w:r>
      <w:r>
        <w:rPr>
          <w:rFonts w:ascii="Times New Roman" w:hAnsi="Times New Roman"/>
          <w:b/>
          <w:i w:val="false"/>
          <w:color w:val="000000"/>
          <w:sz w:val="22"/>
        </w:rPr>
        <w:t xml:space="preserve">(17A,22) </w:t>
      </w:r>
      <w:r>
        <w:rPr>
          <w:rFonts w:ascii="Times New Roman" w:hAnsi="Times New Roman"/>
          <w:b/>
          <w:i w:val="false"/>
          <w:color w:val="000000"/>
          <w:sz w:val="22"/>
        </w:rPr>
        <w:t xml:space="preserve">Applicability. </w:t>
      </w:r>
      <w:r>
        <w:rPr>
          <w:rFonts w:ascii="Times New Roman" w:hAnsi="Times New Roman"/>
          <w:b w:val="false"/>
          <w:i w:val="false"/>
          <w:color w:val="000000"/>
          <w:sz w:val="22"/>
        </w:rPr>
        <w:t>This chapter does not: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Require the board to index or retrieve records which contain information about individuals by that person’s name or other personal identifier.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Make available to the general public records which would otherwise not be available under the public records law, Iowa Code chapter </w:t>
      </w:r>
      <w:hyperlink r:id="rId12">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Govern the maintenance or disclosure of, notification of or access to, records in the possession of the agency which are governed by the rules of another agency.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Apply to grantees, including local governments or subdivisions thereof, administering state-funded programs, unless otherwise provided by law or agreement.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Make available records compiled by the board in reasonable anticipation of court litigation or formal administrative proceedings. The availability of such records to the general public or to any subject individual or party to such litigation or proceedings shall be governed by applicable legal and constitutional principles, statutes, rules of discovery, evidentiary privileges, and applicable rules of the agency.</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3">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8/19/88 after Notice 6/29/88—published 9/7/88, effective 8/19/88]</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2.4.pdf" Type="http://schemas.openxmlformats.org/officeDocument/2006/relationships/hyperlink" Id="rId5"/>
    <Relationship TargetMode="External" Target="https://www.legis.iowa.gov/docs/iac/rule/543.6.10.pdf" Type="http://schemas.openxmlformats.org/officeDocument/2006/relationships/hyperlink" Id="rId6"/>
    <Relationship TargetMode="External" Target="https://www.legis.iowa.gov/docs/ico/chapter/2A.3.pdf" Type="http://schemas.openxmlformats.org/officeDocument/2006/relationships/hyperlink" Id="rId7"/>
    <Relationship TargetMode="External" Target="https://www.legis.iowa.gov/docs/ico/chapter/22.pdf" Type="http://schemas.openxmlformats.org/officeDocument/2006/relationships/hyperlink" Id="rId8"/>
    <Relationship TargetMode="External" Target="https://www.legis.iowa.gov/docs/ico/chapter/22.7.pdf" Type="http://schemas.openxmlformats.org/officeDocument/2006/relationships/hyperlink" Id="rId9"/>
    <Relationship TargetMode="External" Target="https://www.legis.iowa.gov/docs/ico/chapter/22.7.pdf" Type="http://schemas.openxmlformats.org/officeDocument/2006/relationships/hyperlink" Id="rId10"/>
    <Relationship TargetMode="External" Target="https://www.legis.iowa.gov/docs/ico/chapter/22.7.pdf" Type="http://schemas.openxmlformats.org/officeDocument/2006/relationships/hyperlink" Id="rId11"/>
    <Relationship TargetMode="External" Target="https://www.legis.iowa.gov/docs/ico/chapter/22.pdf" Type="http://schemas.openxmlformats.org/officeDocument/2006/relationships/hyperlink" Id="rId12"/>
    <Relationship TargetMode="External" Target="https://www.legis.iowa.gov/docs/ico/chapter/22.11.pdf" Type="http://schemas.openxmlformats.org/officeDocument/2006/relationships/hyperlink"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