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GENERAL PROVISIONS</w:t>
      </w:r>
    </w:p>
    <w:p>
      <w:pPr>
        <w:spacing w:before="0" w:after="0"/>
        <w:ind w:left="120"/>
        <w:jc w:val="center"/>
      </w:pPr>
      <w:r>
        <w:rPr>
          <w:rFonts w:ascii="Times New Roman" w:hAnsi="Times New Roman"/>
          <w:b w:val="false"/>
          <w:i w:val="false"/>
          <w:color w:val="000000"/>
          <w:sz w:val="14"/>
        </w:rPr>
        <w:t>[Prior to 5/4/88, see Appeal Board, State[60]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543—2.1</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state appeal board is an agency of the state having as its purpose the review of objections to public contracts and bonds and to the budgets of counties, school districts, cities, agricultural extension districts, assessors, and county hospitals, and the approval or rejection and payment of claims against the state. The state appeal board consists of the director of the department of management, auditor of state, and treasurer of state and conducts hearings in the above matters. Information may be obtained from and submissions or requests may be made to the Secretary of the State Appeal Board located in the State Capitol Building, Des Moines, Iowa 50319.</w:t>
      </w:r>
    </w:p>
    <w:p>
      <w:pPr>
        <w:spacing w:before="0" w:after="0"/>
        <w:ind w:left="120"/>
        <w:jc w:val="both"/>
      </w:pPr>
      <w:r>
        <w:rPr>
          <w:rFonts w:ascii="Times New Roman" w:hAnsi="Times New Roman"/>
          <w:b/>
          <w:i w:val="false"/>
          <w:color w:val="000000"/>
          <w:sz w:val="22"/>
        </w:rPr>
        <w:t>543—2.2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used in this chapter shall have the meaning hereinafter ascribed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state appeal board as set forth in Iowa Code section </w:t>
      </w:r>
      <w:hyperlink r:id="rId5">
        <w:r>
          <w:rPr>
            <w:rStyle w:val="Hyperlink"/>
            <w:rFonts w:ascii="Times New Roman" w:hAnsi="Times New Roman"/>
            <w:b w:val="false"/>
            <w:i w:val="false"/>
            <w:color w:val="000000"/>
            <w:sz w:val="22"/>
          </w:rPr>
          <w:t>24.26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has the meaning given it in Iowa Code section </w:t>
      </w:r>
      <w:hyperlink r:id="rId6">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but does not include proceedings under Iowa Code chapter </w:t>
      </w:r>
      <w:hyperlink r:id="rId7">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25</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543—2.3</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 for rule change. </w:t>
      </w:r>
      <w:r>
        <w:rPr>
          <w:rFonts w:ascii="Times New Roman" w:hAnsi="Times New Roman"/>
          <w:b w:val="false"/>
          <w:i w:val="false"/>
          <w:color w:val="000000"/>
          <w:sz w:val="22"/>
        </w:rPr>
        <w:t>An interested person may file with the secretary of the board a written request that the board adopt, amend, or repeal a rule. To be valid, the request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addressed to the secretary of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the names of those requesting the change.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Set forth the proposed rule, or the prior rule as it would be after amendment.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Describe specifically the reason for the proposed rule or requested change.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Describe the statutory authority for the new rule or requested change. Within 60 days of the receipt by the secretary of the request, the board shall either deny the request stating the reasons for denial in writing or initiate rule-making proceedings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543—2.4</w:t>
      </w:r>
      <w:r>
        <w:rPr>
          <w:rFonts w:ascii="Times New Roman" w:hAnsi="Times New Roman"/>
          <w:b/>
          <w:i w:val="false"/>
          <w:color w:val="000000"/>
          <w:sz w:val="22"/>
        </w:rPr>
        <w:t xml:space="preserve">(17A)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Any interested person(s) may submit to the secretary of the board a petition for a declaratory order regarding the application of a statute, rule, decision, order, or other written statement of law or policy to a specific factual situation. The petition requesting the order shall contain the name(s) of the person(s) requesting the order, the specific factual background of the question, the statute, rule, decision, order or other written statement of law or policy deemed applicable and the reasons for the request. The board may demand that the request be clarified or that additional facts be set forth. Failure of the person(s) requesting a declaratory order to clarify the request or set forth additional facts to the satisfaction of the board shall be grounds for dismissal of the petition.</w:t>
      </w:r>
    </w:p>
    <w:p>
      <w:pPr>
        <w:spacing w:before="210" w:after="0"/>
        <w:ind w:left="120"/>
        <w:jc w:val="both"/>
      </w:pPr>
      <w:r>
        <w:rPr>
          <w:rFonts w:ascii="Times New Roman" w:hAnsi="Times New Roman"/>
          <w:b/>
          <w:i w:val="false"/>
          <w:color w:val="000000"/>
          <w:sz w:val="22"/>
        </w:rPr>
        <w:t>543—2.5</w:t>
      </w:r>
      <w:r>
        <w:rPr>
          <w:rFonts w:ascii="Times New Roman" w:hAnsi="Times New Roman"/>
          <w:b w:val="false"/>
          <w:i w:val="false"/>
          <w:color w:val="000000"/>
          <w:sz w:val="22"/>
        </w:rPr>
        <w:t>Rescinded, effective 4/7/82.</w:t>
      </w:r>
    </w:p>
    <w:p>
      <w:pPr>
        <w:spacing w:before="210" w:after="0"/>
        <w:ind w:left="120"/>
        <w:jc w:val="both"/>
      </w:pPr>
      <w:r>
        <w:rPr>
          <w:rFonts w:ascii="Times New Roman" w:hAnsi="Times New Roman"/>
          <w:b/>
          <w:i w:val="false"/>
          <w:color w:val="000000"/>
          <w:sz w:val="22"/>
        </w:rPr>
        <w:t>543—2.6</w:t>
      </w:r>
      <w:r>
        <w:rPr>
          <w:rFonts w:ascii="Times New Roman" w:hAnsi="Times New Roman"/>
          <w:b w:val="false"/>
          <w:i w:val="false"/>
          <w:color w:val="000000"/>
          <w:sz w:val="22"/>
        </w:rPr>
        <w:t>Rescinded, effective 4/7/82.</w:t>
      </w:r>
    </w:p>
    <w:p>
      <w:pPr>
        <w:spacing w:before="0" w:after="0"/>
        <w:ind w:left="120"/>
        <w:jc w:val="both"/>
      </w:pPr>
      <w:r>
        <w:rPr>
          <w:rFonts w:ascii="Times New Roman" w:hAnsi="Times New Roman"/>
          <w:b/>
          <w:i w:val="false"/>
          <w:color w:val="000000"/>
          <w:sz w:val="22"/>
        </w:rPr>
        <w:t>543—2.7</w:t>
      </w:r>
      <w:r>
        <w:rPr>
          <w:rFonts w:ascii="Times New Roman" w:hAnsi="Times New Roman"/>
          <w:b/>
          <w:i w:val="false"/>
          <w:color w:val="000000"/>
          <w:sz w:val="22"/>
        </w:rPr>
        <w:t xml:space="preserve">(24) </w:t>
      </w:r>
      <w:r>
        <w:rPr>
          <w:rFonts w:ascii="Times New Roman" w:hAnsi="Times New Roman"/>
          <w:b/>
          <w:i w:val="false"/>
          <w:color w:val="000000"/>
          <w:sz w:val="22"/>
        </w:rPr>
        <w:t xml:space="preserve">Budget appeals. </w:t>
      </w:r>
      <w:r>
        <w:rPr>
          <w:rFonts w:ascii="Times New Roman" w:hAnsi="Times New Roman"/>
          <w:b w:val="false"/>
          <w:i w:val="false"/>
          <w:color w:val="000000"/>
          <w:sz w:val="22"/>
        </w:rPr>
        <w:t xml:space="preserve">In resolving appeals filed under Iowa Code chapter </w:t>
      </w:r>
      <w:hyperlink r:id="rId11">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the board possesses broad discretionary power to determine the manner in which objections are presented and the conduct of hearings and appeals. All proceedings shall be simple and informal and need not conform to technical rules or procedures except to the extent specific administrative rules have been adopted.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24.26 to 24.32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11/23/76, Notice 7/12/76—published 12/15/76, effective 1/19/77]</w:t>
      </w:r>
    </w:p>
    <w:p>
      <w:pPr>
        <w:spacing w:before="0" w:after="0"/>
        <w:ind w:left="120"/>
        <w:jc w:val="center"/>
      </w:pPr>
      <w:r>
        <w:rPr>
          <w:rFonts w:ascii="Times New Roman" w:hAnsi="Times New Roman"/>
          <w:b w:val="false"/>
          <w:i w:val="false"/>
          <w:color w:val="000000"/>
          <w:sz w:val="21"/>
        </w:rPr>
        <w:t>[Filed 2/12/82, Notice 1/6/82—published 3/3/82, effective 4/7/82]</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4/30/99,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26.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24.pdf" Type="http://schemas.openxmlformats.org/officeDocument/2006/relationships/hyperlink" Id="rId7"/>
    <Relationship TargetMode="External" Target="https://www.legis.iowa.gov/docs/ico/chapter/25.pdf" Type="http://schemas.openxmlformats.org/officeDocument/2006/relationships/hyperlink" Id="rId8"/>
    <Relationship TargetMode="External" Target="https://www.legis.iowa.gov/docs/ico/chapter/25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4.pdf" Type="http://schemas.openxmlformats.org/officeDocument/2006/relationships/hyperlink" Id="rId11"/>
    <Relationship TargetMode="External" Target="https://www.legis.iowa.gov/docs/ico/chapter/24.26-32.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