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TORT CLAIMS</w:t>
      </w:r>
    </w:p>
    <w:p>
      <w:pPr>
        <w:spacing w:before="0" w:after="0"/>
        <w:ind w:left="120"/>
        <w:jc w:val="center"/>
      </w:pPr>
      <w:r>
        <w:rPr>
          <w:rFonts w:ascii="Times New Roman" w:hAnsi="Times New Roman"/>
          <w:b w:val="false"/>
          <w:i w:val="false"/>
          <w:color w:val="000000"/>
          <w:sz w:val="14"/>
        </w:rPr>
        <w:t>[Prior to 5/4/88, see Appeal Board, State[60]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543—1.1</w:t>
      </w:r>
      <w:r>
        <w:rPr>
          <w:rFonts w:ascii="Times New Roman" w:hAnsi="Times New Roman"/>
          <w:b/>
          <w:i w:val="false"/>
          <w:color w:val="000000"/>
          <w:sz w:val="22"/>
        </w:rPr>
        <w:t xml:space="preserve">(25A)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these rules, </w:t>
      </w:r>
      <w:r>
        <w:rPr>
          <w:rFonts w:ascii="Times New Roman" w:hAnsi="Times New Roman"/>
          <w:b w:val="false"/>
          <w:i/>
          <w:color w:val="000000"/>
          <w:sz w:val="22"/>
        </w:rPr>
        <w:t>“state agency,” “employee of the state,” “claim”</w:t>
      </w:r>
      <w:r>
        <w:rPr>
          <w:rFonts w:ascii="Times New Roman" w:hAnsi="Times New Roman"/>
          <w:b w:val="false"/>
          <w:i w:val="false"/>
          <w:color w:val="000000"/>
          <w:sz w:val="22"/>
        </w:rPr>
        <w:t xml:space="preserve"> and</w:t>
      </w:r>
      <w:r>
        <w:rPr>
          <w:rFonts w:ascii="Times New Roman" w:hAnsi="Times New Roman"/>
          <w:b w:val="false"/>
          <w:i/>
          <w:color w:val="000000"/>
          <w:sz w:val="22"/>
        </w:rPr>
        <w:t xml:space="preserve"> “award” </w:t>
      </w:r>
      <w:r>
        <w:rPr>
          <w:rFonts w:ascii="Times New Roman" w:hAnsi="Times New Roman"/>
          <w:b w:val="false"/>
          <w:i w:val="false"/>
          <w:color w:val="000000"/>
          <w:sz w:val="22"/>
        </w:rPr>
        <w:t xml:space="preserve">bear the definitions ascribed to them in Iowa Code section </w:t>
      </w:r>
      <w:hyperlink r:id="rId5">
        <w:r>
          <w:rPr>
            <w:rStyle w:val="Hyperlink"/>
            <w:rFonts w:ascii="Times New Roman" w:hAnsi="Times New Roman"/>
            <w:b w:val="false"/>
            <w:i w:val="false"/>
            <w:color w:val="000000"/>
            <w:sz w:val="22"/>
          </w:rPr>
          <w:t>25A.2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w:t>
      </w:r>
      <w:r>
        <w:rPr>
          <w:rFonts w:ascii="Times New Roman" w:hAnsi="Times New Roman"/>
          <w:b w:val="false"/>
          <w:i/>
          <w:color w:val="000000"/>
          <w:sz w:val="22"/>
        </w:rPr>
        <w:t xml:space="preserve"> “state approved board” </w:t>
      </w:r>
      <w:r>
        <w:rPr>
          <w:rFonts w:ascii="Times New Roman" w:hAnsi="Times New Roman"/>
          <w:b w:val="false"/>
          <w:i w:val="false"/>
          <w:color w:val="000000"/>
          <w:sz w:val="22"/>
        </w:rPr>
        <w:t>as defined in section 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secretary” </w:t>
      </w:r>
      <w:r>
        <w:rPr>
          <w:rFonts w:ascii="Times New Roman" w:hAnsi="Times New Roman"/>
          <w:b w:val="false"/>
          <w:i w:val="false"/>
          <w:color w:val="000000"/>
          <w:sz w:val="22"/>
        </w:rPr>
        <w:t>means executive secretary of the state appeal board.</w:t>
      </w:r>
    </w:p>
    <w:p>
      <w:pPr>
        <w:spacing w:before="0" w:after="0"/>
        <w:ind w:left="120"/>
        <w:jc w:val="both"/>
      </w:pPr>
      <w:r>
        <w:rPr>
          <w:rFonts w:ascii="Times New Roman" w:hAnsi="Times New Roman"/>
          <w:b/>
          <w:i w:val="false"/>
          <w:color w:val="000000"/>
          <w:sz w:val="22"/>
        </w:rPr>
        <w:t>543—1.2</w:t>
      </w:r>
      <w:r>
        <w:rPr>
          <w:rFonts w:ascii="Times New Roman" w:hAnsi="Times New Roman"/>
          <w:b/>
          <w:i w:val="false"/>
          <w:color w:val="000000"/>
          <w:sz w:val="22"/>
        </w:rPr>
        <w:t xml:space="preserve">(25A) </w:t>
      </w:r>
      <w:r>
        <w:rPr>
          <w:rFonts w:ascii="Times New Roman" w:hAnsi="Times New Roman"/>
          <w:b/>
          <w:i w:val="false"/>
          <w:color w:val="000000"/>
          <w:sz w:val="22"/>
        </w:rPr>
        <w:t xml:space="preserve">Meetings of board. </w:t>
      </w:r>
      <w:r>
        <w:rPr>
          <w:rFonts w:ascii="Times New Roman" w:hAnsi="Times New Roman"/>
          <w:b w:val="false"/>
          <w:i w:val="false"/>
          <w:color w:val="000000"/>
          <w:sz w:val="22"/>
        </w:rPr>
        <w:t>The board shall meet at a time and place fixed by the chairman or a majority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 Orders of board. </w:t>
      </w:r>
      <w:r>
        <w:rPr>
          <w:rFonts w:ascii="Times New Roman" w:hAnsi="Times New Roman"/>
          <w:b w:val="false"/>
          <w:i w:val="false"/>
          <w:color w:val="000000"/>
          <w:sz w:val="22"/>
        </w:rPr>
        <w:t>The board shall be considered in continuous session for the purpose of entering orders, issuing determinations and making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 Quorum. </w:t>
      </w:r>
      <w:r>
        <w:rPr>
          <w:rFonts w:ascii="Times New Roman" w:hAnsi="Times New Roman"/>
          <w:b w:val="false"/>
          <w:i w:val="false"/>
          <w:color w:val="000000"/>
          <w:sz w:val="22"/>
        </w:rPr>
        <w:t>A majority of the membership of the board shall constitute a quorum for the transaction of all business. But the compromise, settlement or allowance of any claim in an amount larger than $5,000 shall require the approval of all members of the board and of the district court of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 Executive secretary. </w:t>
      </w:r>
      <w:r>
        <w:rPr>
          <w:rFonts w:ascii="Times New Roman" w:hAnsi="Times New Roman"/>
          <w:b w:val="false"/>
          <w:i w:val="false"/>
          <w:color w:val="000000"/>
          <w:sz w:val="22"/>
        </w:rPr>
        <w:t>The director of the department of management shall appoint an employee of the office to serve as executive secretary of the board.</w:t>
      </w:r>
    </w:p>
    <w:p>
      <w:pPr>
        <w:spacing w:before="0" w:after="0"/>
        <w:ind w:left="120"/>
        <w:jc w:val="both"/>
      </w:pPr>
      <w:r>
        <w:rPr>
          <w:rFonts w:ascii="Times New Roman" w:hAnsi="Times New Roman"/>
          <w:b/>
          <w:i w:val="false"/>
          <w:color w:val="000000"/>
          <w:sz w:val="22"/>
        </w:rPr>
        <w:t>543—1.3</w:t>
      </w:r>
      <w:r>
        <w:rPr>
          <w:rFonts w:ascii="Times New Roman" w:hAnsi="Times New Roman"/>
          <w:b/>
          <w:i w:val="false"/>
          <w:color w:val="000000"/>
          <w:sz w:val="22"/>
        </w:rPr>
        <w:t xml:space="preserve">(25A) </w:t>
      </w:r>
      <w:r>
        <w:rPr>
          <w:rFonts w:ascii="Times New Roman" w:hAnsi="Times New Roman"/>
          <w:b/>
          <w:i w:val="false"/>
          <w:color w:val="000000"/>
          <w:sz w:val="22"/>
        </w:rPr>
        <w:t xml:space="preserve">Form of claims. </w:t>
      </w:r>
      <w:r>
        <w:rPr>
          <w:rFonts w:ascii="Times New Roman" w:hAnsi="Times New Roman"/>
          <w:b w:val="false"/>
          <w:i w:val="false"/>
          <w:color w:val="000000"/>
          <w:sz w:val="22"/>
        </w:rPr>
        <w:t>All claims should be typewritten, but claims printed by hand will be accepted if legible.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 Place of filing. </w:t>
      </w:r>
      <w:r>
        <w:rPr>
          <w:rFonts w:ascii="Times New Roman" w:hAnsi="Times New Roman"/>
          <w:b w:val="false"/>
          <w:i w:val="false"/>
          <w:color w:val="000000"/>
          <w:sz w:val="22"/>
        </w:rPr>
        <w:t>Claims shall be filed in triplicate with the Department of Management, State Capitol,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 Verification. </w:t>
      </w:r>
      <w:r>
        <w:rPr>
          <w:rFonts w:ascii="Times New Roman" w:hAnsi="Times New Roman"/>
          <w:b w:val="false"/>
          <w:i w:val="false"/>
          <w:color w:val="000000"/>
          <w:sz w:val="22"/>
        </w:rPr>
        <w:t>Claims shall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 Names and signatures. </w:t>
      </w:r>
      <w:r>
        <w:rPr>
          <w:rFonts w:ascii="Times New Roman" w:hAnsi="Times New Roman"/>
          <w:b w:val="false"/>
          <w:i w:val="false"/>
          <w:color w:val="000000"/>
          <w:sz w:val="22"/>
        </w:rPr>
        <w:t>A claim shall state thereon the name, address, telephone number, and age of the person making the claim and the name, address and telephone number of the attorney, if any, preparing the claim, and their signatures.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 Designation by number. </w:t>
      </w:r>
      <w:r>
        <w:rPr>
          <w:rFonts w:ascii="Times New Roman" w:hAnsi="Times New Roman"/>
          <w:b w:val="false"/>
          <w:i w:val="false"/>
          <w:color w:val="000000"/>
          <w:sz w:val="22"/>
        </w:rPr>
        <w:t>The executive secretary shall assign a number to each claim. Thereafter it may be referred to by such a number.</w:t>
      </w:r>
    </w:p>
    <w:p>
      <w:pPr>
        <w:spacing w:before="0" w:after="0"/>
        <w:ind w:left="120"/>
        <w:jc w:val="both"/>
      </w:pPr>
      <w:r>
        <w:rPr>
          <w:rFonts w:ascii="Times New Roman" w:hAnsi="Times New Roman"/>
          <w:b/>
          <w:i w:val="false"/>
          <w:color w:val="000000"/>
          <w:sz w:val="22"/>
        </w:rPr>
        <w:t>543—1.4</w:t>
      </w:r>
      <w:r>
        <w:rPr>
          <w:rFonts w:ascii="Times New Roman" w:hAnsi="Times New Roman"/>
          <w:b/>
          <w:i w:val="false"/>
          <w:color w:val="000000"/>
          <w:sz w:val="22"/>
        </w:rPr>
        <w:t xml:space="preserve">(25A) </w:t>
      </w:r>
      <w:r>
        <w:rPr>
          <w:rFonts w:ascii="Times New Roman" w:hAnsi="Times New Roman"/>
          <w:b/>
          <w:i w:val="false"/>
          <w:color w:val="000000"/>
          <w:sz w:val="22"/>
        </w:rPr>
        <w:t xml:space="preserve">Content. </w:t>
      </w:r>
      <w:r>
        <w:rPr>
          <w:rFonts w:ascii="Times New Roman" w:hAnsi="Times New Roman"/>
          <w:b w:val="false"/>
          <w:i w:val="false"/>
          <w:color w:val="000000"/>
          <w:sz w:val="22"/>
        </w:rPr>
        <w:t>All claims shall set forth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 Type of claim. </w:t>
      </w:r>
      <w:r>
        <w:rPr>
          <w:rFonts w:ascii="Times New Roman" w:hAnsi="Times New Roman"/>
          <w:b w:val="false"/>
          <w:i w:val="false"/>
          <w:color w:val="000000"/>
          <w:sz w:val="22"/>
        </w:rPr>
        <w:t>A claim shall state whether it is against an employee or the state. If the claim is against an employee the name of the employee and the department where employed shall be stated. A separate claim shall be filed for each type by each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 Description of accident. </w:t>
      </w:r>
      <w:r>
        <w:rPr>
          <w:rFonts w:ascii="Times New Roman" w:hAnsi="Times New Roman"/>
          <w:b w:val="false"/>
          <w:i w:val="false"/>
          <w:color w:val="000000"/>
          <w:sz w:val="22"/>
        </w:rPr>
        <w:t>State, in detail, all known facts and circumstances attending the damage or injury, identifying persons and property involved and the cause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 In connection with personal injuries or death.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nature, extent and duration of any and all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and all physicians, surgeons, dentists or other medical personnel providing treatment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and places of the treatments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of the final treatment or service and the name of the physician or other person providing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treatment or services are continuing, the name and address of each physician or other person rendering said treatment or service, and the nature of the treatment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any hospital in which claimant is or was confined and the dates of admission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any and all persons who have taken the X-rays of claimant, the dates of such X-rays and a statement as to what the X-rays purportedly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as to any preexisting injury, illness or condition, the nature of such preexisting injury, illness or condition, and the name and present address of each physician or other person who has rendered or who is rendering treatment for such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employed at the time of the injury or death, the name and address of the employer, the position or job held and nature of the work performed, the average weekly wage or salary for the year immediately past, the period of time lost from employment (dates), and the sum of wages or salary claimed to have been lost, if any, by reason of injuries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other loss of income, profit or earnings is claimed, the amount of such loss or losses and how computed, the source of such loss, the date of deprivation thereof, the period of time and whether it is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and address of present employer, if claimant has returned to work, the position or job held, the nature of the work being performed and present weekly wages, earnings, income or profits.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Itemization in detail of any and all moneys expended or expenses incurred in connection with said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all persons who have personal knowledge of any facts relating to said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 In connection with property damage or loss.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model,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purchase and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estimates for repairs or actual costs thereof, with copies of estimates or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part or parts allegedly damaged.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any and all persons having personal knowledge of any facts relating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Nature and description of such other property or items of property separately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by which such property was acquired. If purchased, then the name of the person or place from which purchased, the price, date and usage made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Depreciated value at date of damage 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estimates for repairs or actual costs thereof with copies of cost estimates made or of bills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any and all persons having personal knowledge of any facts relating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 Forms. </w:t>
      </w:r>
      <w:r>
        <w:rPr>
          <w:rFonts w:ascii="Times New Roman" w:hAnsi="Times New Roman"/>
          <w:b w:val="false"/>
          <w:i w:val="false"/>
          <w:color w:val="000000"/>
          <w:sz w:val="22"/>
        </w:rPr>
        <w:t xml:space="preserve">Claims may be in any form, but shall contain the information required by </w:t>
      </w:r>
      <w:hyperlink r:id="rId6">
        <w:r>
          <w:rPr>
            <w:rStyle w:val="Hyperlink"/>
            <w:rFonts w:ascii="Times New Roman" w:hAnsi="Times New Roman"/>
            <w:b w:val="false"/>
            <w:i w:val="false"/>
            <w:color w:val="000000"/>
            <w:sz w:val="22"/>
          </w:rPr>
          <w:t>rules 1.3(25A)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1.4(25A)</w:t>
        </w:r>
      </w:hyperlink>
      <w:r>
        <w:rPr>
          <w:rFonts w:ascii="Times New Roman" w:hAnsi="Times New Roman"/>
          <w:b w:val="false"/>
          <w:i w:val="false"/>
          <w:color w:val="000000"/>
          <w:sz w:val="22"/>
        </w:rPr>
        <w:t>. Printed forms can be obtained from the secretary of the state appeal board.</w:t>
      </w:r>
    </w:p>
    <w:p>
      <w:pPr>
        <w:spacing w:before="210" w:after="0"/>
        <w:ind w:left="120"/>
        <w:jc w:val="both"/>
      </w:pPr>
      <w:r>
        <w:rPr>
          <w:rFonts w:ascii="Times New Roman" w:hAnsi="Times New Roman"/>
          <w:b/>
          <w:i w:val="false"/>
          <w:color w:val="000000"/>
          <w:sz w:val="22"/>
        </w:rPr>
        <w:t>543—1.5</w:t>
      </w:r>
      <w:r>
        <w:rPr>
          <w:rFonts w:ascii="Times New Roman" w:hAnsi="Times New Roman"/>
          <w:b/>
          <w:i w:val="false"/>
          <w:color w:val="000000"/>
          <w:sz w:val="22"/>
        </w:rPr>
        <w:t xml:space="preserve">(25A) </w:t>
      </w:r>
      <w:r>
        <w:rPr>
          <w:rFonts w:ascii="Times New Roman" w:hAnsi="Times New Roman"/>
          <w:b/>
          <w:i w:val="false"/>
          <w:color w:val="000000"/>
          <w:sz w:val="22"/>
        </w:rPr>
        <w:t xml:space="preserve">Amount of claim. </w:t>
      </w:r>
      <w:r>
        <w:rPr>
          <w:rFonts w:ascii="Times New Roman" w:hAnsi="Times New Roman"/>
          <w:b w:val="false"/>
          <w:i w:val="false"/>
          <w:color w:val="000000"/>
          <w:sz w:val="22"/>
        </w:rPr>
        <w:t>All claims shall state the amount of compensation requested from the state appeal board.</w:t>
      </w:r>
    </w:p>
    <w:p>
      <w:pPr>
        <w:spacing w:before="210" w:after="0"/>
        <w:ind w:left="120"/>
        <w:jc w:val="both"/>
      </w:pPr>
      <w:r>
        <w:rPr>
          <w:rFonts w:ascii="Times New Roman" w:hAnsi="Times New Roman"/>
          <w:b/>
          <w:i w:val="false"/>
          <w:color w:val="000000"/>
          <w:sz w:val="22"/>
        </w:rPr>
        <w:t>543—1.6</w:t>
      </w:r>
      <w:r>
        <w:rPr>
          <w:rFonts w:ascii="Times New Roman" w:hAnsi="Times New Roman"/>
          <w:b/>
          <w:i w:val="false"/>
          <w:color w:val="000000"/>
          <w:sz w:val="22"/>
        </w:rPr>
        <w:t xml:space="preserve">(25A) </w:t>
      </w:r>
      <w:r>
        <w:rPr>
          <w:rFonts w:ascii="Times New Roman" w:hAnsi="Times New Roman"/>
          <w:b/>
          <w:i w:val="false"/>
          <w:color w:val="000000"/>
          <w:sz w:val="22"/>
        </w:rPr>
        <w:t xml:space="preserve">Attorney general. </w:t>
      </w:r>
      <w:r>
        <w:rPr>
          <w:rFonts w:ascii="Times New Roman" w:hAnsi="Times New Roman"/>
          <w:b w:val="false"/>
          <w:i w:val="false"/>
          <w:color w:val="000000"/>
          <w:sz w:val="22"/>
        </w:rPr>
        <w:t>The executive secretary shall deliver or cause delivery of two copies of each claim to the special assistant attorney general assigned to claims.</w:t>
      </w:r>
    </w:p>
    <w:p>
      <w:pPr>
        <w:spacing w:before="210" w:after="0"/>
        <w:ind w:left="120"/>
        <w:jc w:val="both"/>
      </w:pPr>
      <w:r>
        <w:rPr>
          <w:rFonts w:ascii="Times New Roman" w:hAnsi="Times New Roman"/>
          <w:b/>
          <w:i w:val="false"/>
          <w:color w:val="000000"/>
          <w:sz w:val="22"/>
        </w:rPr>
        <w:t>543—1.7</w:t>
      </w:r>
      <w:r>
        <w:rPr>
          <w:rFonts w:ascii="Times New Roman" w:hAnsi="Times New Roman"/>
          <w:b/>
          <w:i w:val="false"/>
          <w:color w:val="000000"/>
          <w:sz w:val="22"/>
        </w:rPr>
        <w:t xml:space="preserve">(25A) </w:t>
      </w:r>
      <w:r>
        <w:rPr>
          <w:rFonts w:ascii="Times New Roman" w:hAnsi="Times New Roman"/>
          <w:b/>
          <w:i w:val="false"/>
          <w:color w:val="000000"/>
          <w:sz w:val="22"/>
        </w:rPr>
        <w:t xml:space="preserve">Investigation. </w:t>
      </w:r>
      <w:r>
        <w:rPr>
          <w:rFonts w:ascii="Times New Roman" w:hAnsi="Times New Roman"/>
          <w:b w:val="false"/>
          <w:i w:val="false"/>
          <w:color w:val="000000"/>
          <w:sz w:val="22"/>
        </w:rPr>
        <w:t>Upon receipt of said copy, the special assistant attorney general shall investigate the claim. The special assistant attorney general shall ex officio be empowered to administer oaths or may take testimony in the form of affidavits, depositions or oral or written interrogatories or otherwise. The special assistant attorney general may compel the attendance of witnesses and certify to any district court for contempt.</w:t>
      </w:r>
    </w:p>
    <w:p>
      <w:pPr>
        <w:spacing w:before="210" w:after="0"/>
        <w:ind w:left="120"/>
        <w:jc w:val="both"/>
      </w:pPr>
      <w:r>
        <w:rPr>
          <w:rFonts w:ascii="Times New Roman" w:hAnsi="Times New Roman"/>
          <w:b/>
          <w:i w:val="false"/>
          <w:color w:val="000000"/>
          <w:sz w:val="22"/>
        </w:rPr>
        <w:t>543—1.8</w:t>
      </w:r>
      <w:r>
        <w:rPr>
          <w:rFonts w:ascii="Times New Roman" w:hAnsi="Times New Roman"/>
          <w:b/>
          <w:i w:val="false"/>
          <w:color w:val="000000"/>
          <w:sz w:val="22"/>
        </w:rPr>
        <w:t xml:space="preserve">(25A) </w:t>
      </w:r>
      <w:r>
        <w:rPr>
          <w:rFonts w:ascii="Times New Roman" w:hAnsi="Times New Roman"/>
          <w:b/>
          <w:i w:val="false"/>
          <w:color w:val="000000"/>
          <w:sz w:val="22"/>
        </w:rPr>
        <w:t xml:space="preserve">Notification. </w:t>
      </w:r>
      <w:r>
        <w:rPr>
          <w:rFonts w:ascii="Times New Roman" w:hAnsi="Times New Roman"/>
          <w:b w:val="false"/>
          <w:i w:val="false"/>
          <w:color w:val="000000"/>
          <w:sz w:val="22"/>
        </w:rPr>
        <w:t>The special assistant attorney general shall notify the claimant or the claimant’s attorney, in writing, of the board’s determination and of the amount of the award, if any.</w:t>
      </w:r>
    </w:p>
    <w:p>
      <w:pPr>
        <w:spacing w:before="210" w:after="0"/>
        <w:ind w:left="120"/>
        <w:jc w:val="both"/>
      </w:pPr>
      <w:r>
        <w:rPr>
          <w:rFonts w:ascii="Times New Roman" w:hAnsi="Times New Roman"/>
          <w:b/>
          <w:i w:val="false"/>
          <w:color w:val="000000"/>
          <w:sz w:val="22"/>
        </w:rPr>
        <w:t>543—1.9</w:t>
      </w:r>
      <w:r>
        <w:rPr>
          <w:rFonts w:ascii="Times New Roman" w:hAnsi="Times New Roman"/>
          <w:b/>
          <w:i w:val="false"/>
          <w:color w:val="000000"/>
          <w:sz w:val="22"/>
        </w:rPr>
        <w:t xml:space="preserve">(25A) </w:t>
      </w:r>
      <w:r>
        <w:rPr>
          <w:rFonts w:ascii="Times New Roman" w:hAnsi="Times New Roman"/>
          <w:b/>
          <w:i w:val="false"/>
          <w:color w:val="000000"/>
          <w:sz w:val="22"/>
        </w:rPr>
        <w:t xml:space="preserve">Release or covenant not to sue. </w:t>
      </w:r>
      <w:r>
        <w:rPr>
          <w:rFonts w:ascii="Times New Roman" w:hAnsi="Times New Roman"/>
          <w:b w:val="false"/>
          <w:i w:val="false"/>
          <w:color w:val="000000"/>
          <w:sz w:val="22"/>
        </w:rPr>
        <w:t>The claimant shall be required to execute a release of the claim or a covenant not to sue in consideration of the amount of the award fixed by the board.</w:t>
      </w:r>
    </w:p>
    <w:p>
      <w:pPr>
        <w:spacing w:before="210" w:after="0"/>
        <w:ind w:left="120"/>
        <w:jc w:val="both"/>
      </w:pPr>
      <w:r>
        <w:rPr>
          <w:rFonts w:ascii="Times New Roman" w:hAnsi="Times New Roman"/>
          <w:b/>
          <w:i w:val="false"/>
          <w:color w:val="000000"/>
          <w:sz w:val="22"/>
        </w:rPr>
        <w:t>543—1.10</w:t>
      </w:r>
      <w:r>
        <w:rPr>
          <w:rFonts w:ascii="Times New Roman" w:hAnsi="Times New Roman"/>
          <w:b/>
          <w:i w:val="false"/>
          <w:color w:val="000000"/>
          <w:sz w:val="22"/>
        </w:rPr>
        <w:t xml:space="preserve">(25A) </w:t>
      </w:r>
      <w:r>
        <w:rPr>
          <w:rFonts w:ascii="Times New Roman" w:hAnsi="Times New Roman"/>
          <w:b/>
          <w:i w:val="false"/>
          <w:color w:val="000000"/>
          <w:sz w:val="22"/>
        </w:rPr>
        <w:t xml:space="preserve">Acceptance. </w:t>
      </w:r>
      <w:r>
        <w:rPr>
          <w:rFonts w:ascii="Times New Roman" w:hAnsi="Times New Roman"/>
          <w:b w:val="false"/>
          <w:i w:val="false"/>
          <w:color w:val="000000"/>
          <w:sz w:val="22"/>
        </w:rPr>
        <w:t>Return of the release or covenant not to sue properly executed by the claimant or the claimant’s attorney shall constitute acceptance of the award in full settlement of the claim.</w:t>
      </w:r>
    </w:p>
    <w:p>
      <w:pPr>
        <w:spacing w:before="210" w:after="0"/>
        <w:ind w:left="120"/>
        <w:jc w:val="both"/>
      </w:pPr>
      <w:r>
        <w:rPr>
          <w:rFonts w:ascii="Times New Roman" w:hAnsi="Times New Roman"/>
          <w:b/>
          <w:i w:val="false"/>
          <w:color w:val="000000"/>
          <w:sz w:val="22"/>
        </w:rPr>
        <w:t>543—1.11</w:t>
      </w:r>
      <w:r>
        <w:rPr>
          <w:rFonts w:ascii="Times New Roman" w:hAnsi="Times New Roman"/>
          <w:b/>
          <w:i w:val="false"/>
          <w:color w:val="000000"/>
          <w:sz w:val="22"/>
        </w:rPr>
        <w:t xml:space="preserve">(25A) </w:t>
      </w:r>
      <w:r>
        <w:rPr>
          <w:rFonts w:ascii="Times New Roman" w:hAnsi="Times New Roman"/>
          <w:b/>
          <w:i w:val="false"/>
          <w:color w:val="000000"/>
          <w:sz w:val="22"/>
        </w:rPr>
        <w:t xml:space="preserve">Warrant. </w:t>
      </w:r>
      <w:r>
        <w:rPr>
          <w:rFonts w:ascii="Times New Roman" w:hAnsi="Times New Roman"/>
          <w:b w:val="false"/>
          <w:i w:val="false"/>
          <w:color w:val="000000"/>
          <w:sz w:val="22"/>
        </w:rPr>
        <w:t>If the board determines the claimant’s attorney’s fees to be reasonable and the release or covenant not to sue properly executed the director of the department of management shall cause the issuance of a warrant in the amount of the award, payable to claimant and to the claimant’s attorney.</w:t>
      </w:r>
    </w:p>
    <w:p>
      <w:pPr>
        <w:spacing w:before="210" w:after="0"/>
        <w:ind w:left="120"/>
        <w:jc w:val="both"/>
      </w:pPr>
      <w:r>
        <w:rPr>
          <w:rFonts w:ascii="Times New Roman" w:hAnsi="Times New Roman"/>
          <w:b/>
          <w:i w:val="false"/>
          <w:color w:val="000000"/>
          <w:sz w:val="22"/>
        </w:rPr>
        <w:t>543—1.12</w:t>
      </w:r>
      <w:r>
        <w:rPr>
          <w:rFonts w:ascii="Times New Roman" w:hAnsi="Times New Roman"/>
          <w:b/>
          <w:i w:val="false"/>
          <w:color w:val="000000"/>
          <w:sz w:val="22"/>
        </w:rPr>
        <w:t xml:space="preserve">(25A) </w:t>
      </w:r>
      <w:r>
        <w:rPr>
          <w:rFonts w:ascii="Times New Roman" w:hAnsi="Times New Roman"/>
          <w:b/>
          <w:i w:val="false"/>
          <w:color w:val="000000"/>
          <w:sz w:val="22"/>
        </w:rPr>
        <w:t xml:space="preserve">Withdrawal. </w:t>
      </w:r>
      <w:r>
        <w:rPr>
          <w:rFonts w:ascii="Times New Roman" w:hAnsi="Times New Roman"/>
          <w:b w:val="false"/>
          <w:i w:val="false"/>
          <w:color w:val="000000"/>
          <w:sz w:val="22"/>
        </w:rPr>
        <w:t>Withdrawal of claims shall be by notice in writing addressed to the State Appeal Board, Office of the Department of Management, Des Moines, Iowa 50319.</w:t>
      </w:r>
    </w:p>
    <w:p>
      <w:pPr>
        <w:spacing w:before="0" w:after="0"/>
        <w:ind w:left="120"/>
        <w:jc w:val="center"/>
      </w:pPr>
      <w:r>
        <w:rPr>
          <w:rFonts w:ascii="Times New Roman" w:hAnsi="Times New Roman"/>
          <w:b w:val="false"/>
          <w:i w:val="false"/>
          <w:color w:val="000000"/>
          <w:sz w:val="21"/>
        </w:rPr>
        <w:t>[Filed June 16, 1967; amended September 26, 1967, August 12, 1970]</w:t>
      </w:r>
    </w:p>
    <w:p>
      <w:pPr>
        <w:spacing w:before="0" w:after="0"/>
        <w:ind w:left="120"/>
        <w:jc w:val="center"/>
      </w:pPr>
      <w:r>
        <w:rPr>
          <w:rFonts w:ascii="Times New Roman" w:hAnsi="Times New Roman"/>
          <w:b w:val="false"/>
          <w:i w:val="false"/>
          <w:color w:val="000000"/>
          <w:sz w:val="21"/>
        </w:rPr>
        <w:t>[Filed 12/9/77, Notice 7/27/77—published 12/28/77, effective 2/1/78]</w:t>
      </w:r>
    </w:p>
    <w:p>
      <w:pPr>
        <w:spacing w:before="0" w:after="0"/>
        <w:ind w:left="120"/>
        <w:jc w:val="center"/>
      </w:pPr>
      <w:r>
        <w:rPr>
          <w:rFonts w:ascii="Times New Roman" w:hAnsi="Times New Roman"/>
          <w:b w:val="false"/>
          <w:i w:val="false"/>
          <w:color w:val="000000"/>
          <w:sz w:val="21"/>
        </w:rPr>
        <w:t>[Filed 4/11/78, Notice 2/8/78—published 5/3/78, effective 6/7/78]</w:t>
      </w:r>
    </w:p>
    <w:p>
      <w:pPr>
        <w:spacing w:before="0" w:after="0"/>
        <w:ind w:left="120"/>
        <w:jc w:val="center"/>
      </w:pPr>
      <w:r>
        <w:rPr>
          <w:rFonts w:ascii="Times New Roman" w:hAnsi="Times New Roman"/>
          <w:b w:val="false"/>
          <w:i w:val="false"/>
          <w:color w:val="000000"/>
          <w:sz w:val="21"/>
        </w:rPr>
        <w:t>[Filed emergency 4/15/88—published 5/4/88, effective 4/15/88]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A.2.pdf" Type="http://schemas.openxmlformats.org/officeDocument/2006/relationships/hyperlink" Id="rId5"/>
    <Relationship TargetMode="External" Target="https://www.legis.iowa.gov/docs/iac/rule/543.1.3.pdf" Type="http://schemas.openxmlformats.org/officeDocument/2006/relationships/hyperlink" Id="rId6"/>
    <Relationship TargetMode="External" Target="https://www.legis.iowa.gov/docs/iac/rule/543.1.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