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RECOMMENDATIONS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521—1.1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Recommendation for fiscal year 1999-2000.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livestock health advisory council recommends that this appropriation for fiscal year 1999-2000 be applied in the following manner.</w:t>
      </w:r>
    </w:p>
    <w:tbl>
      <w:tblPr>
        <w:tblW w:w="5000" w:type="pct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048"/>
        <w:gridCol w:w="7692"/>
        <w:gridCol w:w="2450"/>
      </w:tblGrid>
      <w:tr>
        <w:trPr>
          <w:trHeight w:val="210" w:hRule="atLeast"/>
        </w:trPr>
        <w:tc>
          <w:tcPr>
            <w:tcW w:w="0" w:type="auto"/>
            <w:gridSpan w:val="3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  <w:u w:val="single"/>
              </w:rPr>
              <w:t>ILHAC Projects Approved for 1999-2000</w:t>
            </w:r>
          </w:p>
        </w:tc>
      </w:tr>
      <w:tr>
        <w:trPr>
          <w:trHeight w:val="390" w:hRule="atLeast"/>
        </w:trPr>
        <w:tc>
          <w:tcPr>
            <w:tcW w:w="104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1.</w:t>
            </w:r>
          </w:p>
        </w:tc>
        <w:tc>
          <w:tcPr>
            <w:tcW w:w="769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The role of immediate hypersensitivity in Haemophilus somnus-induced bovine respiratory disease</w:t>
            </w:r>
          </w:p>
        </w:tc>
        <w:tc>
          <w:tcPr>
            <w:tcW w:w="245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$20,000</w:t>
            </w:r>
          </w:p>
        </w:tc>
      </w:tr>
      <w:tr>
        <w:trPr>
          <w:trHeight w:val="210" w:hRule="atLeast"/>
        </w:trPr>
        <w:tc>
          <w:tcPr>
            <w:tcW w:w="104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2.</w:t>
            </w:r>
          </w:p>
        </w:tc>
        <w:tc>
          <w:tcPr>
            <w:tcW w:w="769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Investigation into the prevalence of H3N2 swine influenza virus infections in U.S. swine</w:t>
            </w:r>
          </w:p>
        </w:tc>
        <w:tc>
          <w:tcPr>
            <w:tcW w:w="245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$20,000</w:t>
            </w:r>
          </w:p>
        </w:tc>
      </w:tr>
      <w:tr>
        <w:trPr>
          <w:trHeight w:val="210" w:hRule="atLeast"/>
        </w:trPr>
        <w:tc>
          <w:tcPr>
            <w:tcW w:w="104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3.</w:t>
            </w:r>
          </w:p>
        </w:tc>
        <w:tc>
          <w:tcPr>
            <w:tcW w:w="769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Specific effect of PrP scrapie on types of brain cells</w:t>
            </w:r>
          </w:p>
        </w:tc>
        <w:tc>
          <w:tcPr>
            <w:tcW w:w="245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$15,000</w:t>
            </w:r>
          </w:p>
        </w:tc>
      </w:tr>
      <w:tr>
        <w:trPr>
          <w:trHeight w:val="210" w:hRule="atLeast"/>
        </w:trPr>
        <w:tc>
          <w:tcPr>
            <w:tcW w:w="104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4.</w:t>
            </w:r>
          </w:p>
        </w:tc>
        <w:tc>
          <w:tcPr>
            <w:tcW w:w="769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Gene discovery in veterinary mycoplasmal pathogens</w:t>
            </w:r>
          </w:p>
        </w:tc>
        <w:tc>
          <w:tcPr>
            <w:tcW w:w="245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$20,000</w:t>
            </w:r>
          </w:p>
        </w:tc>
      </w:tr>
      <w:tr>
        <w:trPr>
          <w:trHeight w:val="390" w:hRule="atLeast"/>
        </w:trPr>
        <w:tc>
          <w:tcPr>
            <w:tcW w:w="104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5.</w:t>
            </w:r>
          </w:p>
        </w:tc>
        <w:tc>
          <w:tcPr>
            <w:tcW w:w="769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Antigenic characterization of PRRS virus isolates associated with acute PRRS and vaccination failure</w:t>
            </w:r>
          </w:p>
        </w:tc>
        <w:tc>
          <w:tcPr>
            <w:tcW w:w="245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$20,000</w:t>
            </w:r>
          </w:p>
        </w:tc>
      </w:tr>
      <w:tr>
        <w:trPr>
          <w:trHeight w:val="390" w:hRule="atLeast"/>
        </w:trPr>
        <w:tc>
          <w:tcPr>
            <w:tcW w:w="104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6.</w:t>
            </w:r>
          </w:p>
        </w:tc>
        <w:tc>
          <w:tcPr>
            <w:tcW w:w="769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Prevention and control of turkey rhinotracheitis (TRT): development of an inactivated vaccine</w:t>
            </w:r>
          </w:p>
        </w:tc>
        <w:tc>
          <w:tcPr>
            <w:tcW w:w="245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$18,000</w:t>
            </w:r>
          </w:p>
        </w:tc>
      </w:tr>
      <w:tr>
        <w:trPr>
          <w:trHeight w:val="210" w:hRule="atLeast"/>
        </w:trPr>
        <w:tc>
          <w:tcPr>
            <w:tcW w:w="104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7.</w:t>
            </w:r>
          </w:p>
        </w:tc>
        <w:tc>
          <w:tcPr>
            <w:tcW w:w="769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Efficacy of a vaccine in control of Johne’s disease in cattle</w:t>
            </w:r>
          </w:p>
        </w:tc>
        <w:tc>
          <w:tcPr>
            <w:tcW w:w="245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$17,940</w:t>
            </w:r>
          </w:p>
        </w:tc>
      </w:tr>
      <w:tr>
        <w:trPr>
          <w:trHeight w:val="210" w:hRule="atLeast"/>
        </w:trPr>
        <w:tc>
          <w:tcPr>
            <w:tcW w:w="104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8.</w:t>
            </w:r>
          </w:p>
        </w:tc>
        <w:tc>
          <w:tcPr>
            <w:tcW w:w="769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Potential effects of epizootic hemorrhagic disease on Iowa cattle</w:t>
            </w:r>
          </w:p>
        </w:tc>
        <w:tc>
          <w:tcPr>
            <w:tcW w:w="245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$12,500</w:t>
            </w:r>
          </w:p>
        </w:tc>
      </w:tr>
      <w:tr>
        <w:trPr>
          <w:trHeight w:val="390" w:hRule="atLeast"/>
        </w:trPr>
        <w:tc>
          <w:tcPr>
            <w:tcW w:w="104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9.</w:t>
            </w:r>
          </w:p>
        </w:tc>
        <w:tc>
          <w:tcPr>
            <w:tcW w:w="769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Treatment and prevention of cryptosporidiosis of calves: screening of potential anti-cryptosporidial compounds in mice and calves</w:t>
            </w:r>
          </w:p>
        </w:tc>
        <w:tc>
          <w:tcPr>
            <w:tcW w:w="245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$20,000</w:t>
            </w:r>
          </w:p>
        </w:tc>
      </w:tr>
      <w:tr>
        <w:trPr>
          <w:trHeight w:val="390" w:hRule="atLeast"/>
        </w:trPr>
        <w:tc>
          <w:tcPr>
            <w:tcW w:w="104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10.</w:t>
            </w:r>
          </w:p>
        </w:tc>
        <w:tc>
          <w:tcPr>
            <w:tcW w:w="769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Development of immunoprophylaxis for the prevention and control of bovine papillomatous digital dermatitis (hairy heel wart)</w:t>
            </w:r>
          </w:p>
        </w:tc>
        <w:tc>
          <w:tcPr>
            <w:tcW w:w="245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$19,500</w:t>
            </w:r>
          </w:p>
        </w:tc>
      </w:tr>
      <w:tr>
        <w:trPr>
          <w:trHeight w:val="210" w:hRule="atLeast"/>
        </w:trPr>
        <w:tc>
          <w:tcPr>
            <w:tcW w:w="104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11.</w:t>
            </w:r>
          </w:p>
        </w:tc>
        <w:tc>
          <w:tcPr>
            <w:tcW w:w="769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Are granulocyte adapted Salmonella vaccines host species specific?</w:t>
            </w:r>
          </w:p>
        </w:tc>
        <w:tc>
          <w:tcPr>
            <w:tcW w:w="245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$15,920</w:t>
            </w:r>
          </w:p>
        </w:tc>
      </w:tr>
      <w:tr>
        <w:trPr>
          <w:trHeight w:val="570" w:hRule="atLeast"/>
        </w:trPr>
        <w:tc>
          <w:tcPr>
            <w:tcW w:w="104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12.</w:t>
            </w:r>
          </w:p>
        </w:tc>
        <w:tc>
          <w:tcPr>
            <w:tcW w:w="769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Impact of sulfate, dissolved solids, iron, and other drinking water quality parameters to on-farm performance and health of dairy cattle in Iowa: implications for dairy industry</w:t>
            </w:r>
          </w:p>
        </w:tc>
        <w:tc>
          <w:tcPr>
            <w:tcW w:w="245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$10,000</w:t>
            </w:r>
          </w:p>
        </w:tc>
      </w:tr>
      <w:tr>
        <w:trPr>
          <w:trHeight w:val="390" w:hRule="atLeast"/>
        </w:trPr>
        <w:tc>
          <w:tcPr>
            <w:tcW w:w="104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13.</w:t>
            </w:r>
          </w:p>
        </w:tc>
        <w:tc>
          <w:tcPr>
            <w:tcW w:w="769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Assessing the role of porcine circovirus I postweaning multisystemic wasting syndrome (PMWS) using a case-control study</w:t>
            </w:r>
          </w:p>
        </w:tc>
        <w:tc>
          <w:tcPr>
            <w:tcW w:w="245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$18,000</w:t>
            </w:r>
          </w:p>
        </w:tc>
      </w:tr>
      <w:tr>
        <w:trPr>
          <w:trHeight w:val="390" w:hRule="atLeast"/>
        </w:trPr>
        <w:tc>
          <w:tcPr>
            <w:tcW w:w="104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14.</w:t>
            </w:r>
          </w:p>
        </w:tc>
        <w:tc>
          <w:tcPr>
            <w:tcW w:w="769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Bacteriological and serological survey of commercial chicken laying hens flocks for Ornithobacterium rhinotracheale</w:t>
            </w:r>
          </w:p>
        </w:tc>
        <w:tc>
          <w:tcPr>
            <w:tcW w:w="245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$7,000</w:t>
            </w:r>
          </w:p>
        </w:tc>
      </w:tr>
      <w:tr>
        <w:trPr>
          <w:trHeight w:val="390" w:hRule="atLeast"/>
        </w:trPr>
        <w:tc>
          <w:tcPr>
            <w:tcW w:w="104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15.</w:t>
            </w:r>
          </w:p>
        </w:tc>
        <w:tc>
          <w:tcPr>
            <w:tcW w:w="769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Mycoplasma hyopneumoniae: comparison of immunological responses to vaccination and/or challenge in pigs with or without maternal antibodies</w:t>
            </w:r>
          </w:p>
        </w:tc>
        <w:tc>
          <w:tcPr>
            <w:tcW w:w="245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$18,000</w:t>
            </w:r>
          </w:p>
        </w:tc>
      </w:tr>
      <w:tr>
        <w:trPr>
          <w:trHeight w:val="210" w:hRule="atLeast"/>
        </w:trPr>
        <w:tc>
          <w:tcPr>
            <w:tcW w:w="104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16.</w:t>
            </w:r>
          </w:p>
        </w:tc>
        <w:tc>
          <w:tcPr>
            <w:tcW w:w="769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Transformation of Mycoplasma bovis as an aid in identification of virulence factors</w:t>
            </w:r>
          </w:p>
        </w:tc>
        <w:tc>
          <w:tcPr>
            <w:tcW w:w="245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$15,000</w:t>
            </w:r>
          </w:p>
        </w:tc>
      </w:tr>
      <w:tr>
        <w:trPr>
          <w:trHeight w:val="210" w:hRule="atLeast"/>
        </w:trPr>
        <w:tc>
          <w:tcPr>
            <w:tcW w:w="104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 </w:t>
            </w:r>
          </w:p>
        </w:tc>
        <w:tc>
          <w:tcPr>
            <w:tcW w:w="769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  <w:u w:val="single"/>
              </w:rPr>
              <w:t>Contingency Funds</w:t>
            </w:r>
          </w:p>
        </w:tc>
        <w:tc>
          <w:tcPr>
            <w:tcW w:w="245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  <w:u w:val="single"/>
              </w:rPr>
              <w:t>$10,713</w:t>
            </w:r>
          </w:p>
        </w:tc>
      </w:tr>
      <w:tr>
        <w:trPr>
          <w:trHeight w:val="210" w:hRule="atLeast"/>
        </w:trPr>
        <w:tc>
          <w:tcPr>
            <w:tcW w:w="1048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 </w:t>
            </w:r>
          </w:p>
        </w:tc>
        <w:tc>
          <w:tcPr>
            <w:tcW w:w="769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304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  <w:u w:val="single"/>
              </w:rPr>
              <w:t>Total</w:t>
            </w:r>
          </w:p>
        </w:tc>
        <w:tc>
          <w:tcPr>
            <w:tcW w:w="245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bottom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$277,573</w:t>
            </w:r>
          </w:p>
        </w:tc>
      </w:tr>
    </w:tbl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chapter is intended to implement Iowa Code subsection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267.5(3)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7/5/77—published 7/26/77, effective 7/11/77 to 1/16/78]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after Notice 6/28/78, Notice 5/3/78—published 7/26/78, effective 6/28/78]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7/5/79, Notice 4/4/79—published 7/25/79, effective 8/29/79]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6/23/80, Notice 4/30/80—published 7/23/80, effective 9/1/80]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7/2/81, Notice 5/13/81—published 7/22/81, effective 9/15/81]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7/13/82, Notice 4/28/82—published 8/4/82, effective 9/8/82]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6/14/83, Notice 4/13/83—published 7/6/83, effective 8/10/83]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6/29/84, Notice 5/23/84—published 7/18/84, effective 8/22/84]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7/23/85, Notice 6/5/85—published 8/14/85, effective 9/18/85]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7/23/86, Notice 6/18/86—published 8/13/86, effective 9/17/86]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11/30/87, Notice 5/6/87—published 12/16/87, effective 1/20/88]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12/6/88, Notice 6/1/88—published 12/28/88, effective 2/1/89]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10/3/89, Notice 5/3/89—published 11/1/89, effective 12/6/89]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9/12/90, Notice 5/30/90—published 10/3/90, effective 11/7/90]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10/4/91, Notice 5/29/91—published 10/30/91, effective 12/4/91]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7/14/93, Notice 4/14/93—published 8/4/93, effective 9/8/93]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8/25/94, Notice 4/27/94—published 9/14/94, effective 10/19/94]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8/4/95, Notice 4/26/95—published 8/30/95, effective 10/4/95]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8/7/98, Notice 5/20/98—published 8/26/98, effective 9/30/98]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7/9/99, Notice 6/2/99—published 7/28/99, effective 9/1/99]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267.5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