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SIGN LANGUAGE INTERPRETERS AND TRANSLITERATORS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961</w:t>
      </w:r>
    </w:p>
    <w:p>
      <w:pPr>
        <w:spacing w:before="0" w:after="0"/>
        <w:ind w:left="120"/>
        <w:jc w:val="center"/>
      </w:pPr>
      <w:r>
        <w:rPr>
          <w:rFonts w:ascii="Times New Roman" w:hAnsi="Times New Roman"/>
          <w:b w:val="false"/>
          <w:i w:val="false"/>
          <w:color w:val="000000"/>
          <w:sz w:val="21"/>
        </w:rPr>
        <w:t>LICENSURE OF SIGN LANGUAGE INTERPRETERS AND TRANSLITERATORS</w:t>
      </w:r>
    </w:p>
    <w:p>
      <w:pPr>
        <w:spacing w:before="0" w:after="0"/>
        <w:ind w:left="120"/>
        <w:jc w:val="center"/>
      </w:pPr>
      <w:r>
        <w:rPr>
          <w:rFonts w:ascii="Times New Roman" w:hAnsi="Times New Roman"/>
          <w:b w:val="false"/>
          <w:i w:val="false"/>
          <w:color w:val="000000"/>
          <w:sz w:val="14"/>
        </w:rPr>
        <w:t>[Prior to 9/18/24, see Professional Licensure Division[645] Ch 361]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481—961.1</w:t>
      </w:r>
      <w:r>
        <w:rPr>
          <w:rFonts w:ascii="Times New Roman" w:hAnsi="Times New Roman"/>
          <w:b/>
          <w:i w:val="false"/>
          <w:color w:val="000000"/>
          <w:sz w:val="22"/>
        </w:rPr>
        <w:t xml:space="preserve">(154E)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interpreter or transliterator services” </w:t>
      </w:r>
      <w:r>
        <w:rPr>
          <w:rFonts w:ascii="Times New Roman" w:hAnsi="Times New Roman"/>
          <w:b w:val="false"/>
          <w:i w:val="false"/>
          <w:color w:val="000000"/>
          <w:sz w:val="22"/>
        </w:rPr>
        <w:t>means the actual time spent personally providing interpreting or transliterating services or providing interpreting or transliterating services through videoconferencing or remotely. When in a team interpreting situation, the time spent monitoring while the team interpreter is actively interpreting will not be included in the time spent personally providing interpreting or transliterating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sign language interpreters and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of a temporary license holder” </w:t>
      </w:r>
      <w:r>
        <w:rPr>
          <w:rFonts w:ascii="Times New Roman" w:hAnsi="Times New Roman"/>
          <w:b w:val="false"/>
          <w:i w:val="false"/>
          <w:color w:val="000000"/>
          <w:sz w:val="22"/>
        </w:rPr>
        <w:t xml:space="preserve">means monitoring of interpreting or transliterating services while personally observing the temporary license holder providing those services, as outlined in paragraphs </w:t>
      </w:r>
      <w:r>
        <w:rPr>
          <w:rFonts w:ascii="Times New Roman" w:hAnsi="Times New Roman"/>
          <w:b w:val="false"/>
          <w:i w:val="false"/>
          <w:color w:val="000000"/>
          <w:sz w:val="22"/>
        </w:rPr>
        <w:t>961.3(4)</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sign language interpreter or transliterator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sign language interpreter or transliterator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481—961.9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“Supervisor” </w:t>
      </w:r>
      <w:r>
        <w:rPr>
          <w:rFonts w:ascii="Times New Roman" w:hAnsi="Times New Roman"/>
          <w:b w:val="false"/>
          <w:i w:val="false"/>
          <w:color w:val="000000"/>
          <w:sz w:val="22"/>
        </w:rPr>
        <w:t xml:space="preserve">means a sign language interpreter or transliterator licensed pursuant to Iowa Code section </w:t>
      </w:r>
      <w:hyperlink r:id="rId7">
        <w:r>
          <w:rPr>
            <w:rStyle w:val="Hyperlink"/>
            <w:rFonts w:ascii="Times New Roman" w:hAnsi="Times New Roman"/>
            <w:b w:val="false"/>
            <w:i w:val="false"/>
            <w:color w:val="000000"/>
            <w:sz w:val="22"/>
          </w:rPr>
          <w:t>154E.3</w:t>
        </w:r>
      </w:hyperlink>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961.2(1)</w:t>
      </w:r>
      <w:r>
        <w:rPr>
          <w:rFonts w:ascii="Times New Roman" w:hAnsi="Times New Roman"/>
          <w:b w:val="false"/>
          <w:i w:val="false"/>
          <w:color w:val="000000"/>
          <w:sz w:val="22"/>
        </w:rPr>
        <w:t xml:space="preserve"> who provides on-site evaluations and advisory sessions with a temporary license holder for the purpose of the professional development of that temporary license holder.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481—961.2</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will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a completed online licensure application and pay the nonrefundable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will provide proof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Passed the National Association of the Deaf/Registry of Interpreters for the Deaf (NAD/RID) National Interpreter Certification (NIC) examination after November 30, 2011;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Passed one of the following examinations administered by the Registry of Interpreters for the Deaf (RID):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Transliteration Certificate (OTC);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Deaf Interpreter (CDI);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Passed the Educational Interpreter Performance Assessment (EIPA) with a score of 3.5 or above after December 31, 1999;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Passed the Cued Language Transliterator National Certification Examination (CLTNCE) administered by The National Certifying Body for Cued Language Transliterators;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NAD/RID certifications awarded through November 30, 2011, by the National Council on Interpreting (NCI):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(NIC);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Advanced (NIC Advanced);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Master (NIC Master);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certifications previously awarded by the RID: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of Interpretation (CI);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Certificate of Transliteration (CT);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Interpretation and Certificate of Transliteration (CI and 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Interpretation Certificate/Transliteration Certificate (IC/TC);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Comprehensive Skills Certificate (CSC);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certifications previously awarded by the National Association of the Deaf (NAD):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NAD III (Generalist);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NAD IV (Advanced);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NAD V (Master);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Currently holds an advanced or master certification awarded by the Board for Evaluation of Interpreters (BEI).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will not be required to renew their licenses until the renewal cycle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8">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directly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481—961.3</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temporary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not successfully completed one of the board-approved examinations or does not hold an approved certification set forth in paragraph </w:t>
      </w:r>
      <w:r>
        <w:rPr>
          <w:rFonts w:ascii="Times New Roman" w:hAnsi="Times New Roman"/>
          <w:b w:val="false"/>
          <w:i w:val="false"/>
          <w:color w:val="000000"/>
          <w:sz w:val="22"/>
        </w:rPr>
        <w:t>961.2(1)</w:t>
      </w:r>
      <w:r>
        <w:rPr>
          <w:rFonts w:ascii="Times New Roman" w:hAnsi="Times New Roman"/>
          <w:b w:val="false"/>
          <w:i/>
          <w:color w:val="000000"/>
          <w:sz w:val="22"/>
        </w:rPr>
        <w:t>“d”</w:t>
      </w:r>
      <w:r>
        <w:rPr>
          <w:rFonts w:ascii="Times New Roman" w:hAnsi="Times New Roman"/>
          <w:b w:val="false"/>
          <w:i w:val="false"/>
          <w:color w:val="000000"/>
          <w:sz w:val="22"/>
        </w:rPr>
        <w:t xml:space="preserve"> will provide verification the applicant has passed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Registry of Interpreters for the Deaf (RID)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Board for Evaluation of Interpreters (BEI)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Educational Interpreter Performance Assessment (EIPA)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EIPA prehire examination at the highest recommended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associate degree or higher from a formal interpreter training program (ITP) with a regionally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American Sign Language Proficiency Interview (ASLPI) at the 2+ level or higher;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Sign Language Proficiency Interview (SLPI) at the intermediate level or higher.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submit a written supervisory agreement that complies with the requirements stated in </w:t>
      </w:r>
      <w:hyperlink r:id="rId9">
        <w:r>
          <w:rPr>
            <w:rStyle w:val="Hyperlink"/>
            <w:rFonts w:ascii="Times New Roman" w:hAnsi="Times New Roman"/>
            <w:b w:val="false"/>
            <w:i w:val="false"/>
            <w:color w:val="000000"/>
            <w:sz w:val="22"/>
          </w:rPr>
          <w:t>subrule 961.3(4)</w:t>
        </w:r>
      </w:hyperlink>
      <w:r>
        <w:rPr>
          <w:rFonts w:ascii="Times New Roman" w:hAnsi="Times New Roman"/>
          <w:b w:val="false"/>
          <w:i w:val="false"/>
          <w:color w:val="000000"/>
          <w:sz w:val="22"/>
        </w:rPr>
        <w:t>. The temporary license will be valid for two years from the initial issue date and may be renewed once for the immediately following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961.3(3)</w:t>
      </w:r>
      <w:r>
        <w:rPr>
          <w:rFonts w:ascii="Times New Roman" w:hAnsi="Times New Roman"/>
          <w:b w:val="false"/>
          <w:i w:val="false"/>
          <w:color w:val="000000"/>
          <w:sz w:val="22"/>
        </w:rPr>
        <w:t> </w:t>
      </w:r>
      <w:r>
        <w:rPr>
          <w:rFonts w:ascii="Times New Roman" w:hAnsi="Times New Roman"/>
          <w:b w:val="false"/>
          <w:i w:val="false"/>
          <w:color w:val="000000"/>
          <w:sz w:val="22"/>
        </w:rPr>
        <w:t>A temporary license holder is only authorized to practice if the following direct supervision requirements are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Enter into a written agreement with a supervisor in which the temporary license holder and the supervisor agree to the minimum requirements provided in paragraphs </w:t>
      </w:r>
      <w:r>
        <w:rPr>
          <w:rFonts w:ascii="Times New Roman" w:hAnsi="Times New Roman"/>
          <w:b w:val="false"/>
          <w:i w:val="false"/>
          <w:color w:val="000000"/>
          <w:sz w:val="22"/>
        </w:rPr>
        <w:t>961.3(4)</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 supervisor will possess a full, unrestricted sign language interpreter and transliterator license. The agreement will be signed and dated by the temporary license holder and the supervisor; will include the temporary license holder’s and supervisor’s names, addresses and contact information; and will be provided to the board with the application for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supervisor observe the temporary license holder in active practice for no fewer than six bimonthly observation sessions per year for at least 30 minutes each, if the temporary license holder is working alone, or at least 60 minutes each, if the temporary license holder is working in a team interpreting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 at least six bimonthly advisory sessions with the supervisor per year for the purpose of discussing the supervisor’s suggestions for the temporary license holder’s professional skill development based on the observation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an event log documenting the date, time, length and setting of each observation session and advisory session. This event log will be submitted with the temporary license holder’s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the supervisor attends each of the observation sessions and advisory sessions or reschedules the sessions as necessary to ensure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replacement of a supervisor becomes necessary, develop a new written agreement with the new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 permission from clients as necessary to allow the supervisor to be in attendance during the observation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961.3(4)</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Iowa-licensed practitioner in accordance with this chapter, a supervisor providing direct supervision of a temporary license holder as provided in subrule </w:t>
      </w:r>
      <w:r>
        <w:rPr>
          <w:rFonts w:ascii="Times New Roman" w:hAnsi="Times New Roman"/>
          <w:b w:val="false"/>
          <w:i w:val="false"/>
          <w:color w:val="000000"/>
          <w:sz w:val="22"/>
        </w:rPr>
        <w:t>961.3(4)</w:t>
      </w:r>
      <w:r>
        <w:rPr>
          <w:rFonts w:ascii="Times New Roman" w:hAnsi="Times New Roman"/>
          <w:b w:val="false"/>
          <w:i w:val="false"/>
          <w:color w:val="000000"/>
          <w:sz w:val="22"/>
        </w:rPr>
        <w:t xml:space="preserve"> is obligated to report to the board an interpreter or transliterator temporary license holder who is not complying with direct supervision requirements or who is not practicing in compliance with Iowa law and rules, including but not limited to Iowa Code chapter </w:t>
      </w:r>
      <w:hyperlink r:id="rId10">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481—Chapters 961 through 964.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481—961.4</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961.4(1)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sign language interpreter or transliterator under the laws of another jurisdiction will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11">
        <w:r>
          <w:rPr>
            <w:rStyle w:val="Hyperlink"/>
            <w:rFonts w:ascii="Times New Roman" w:hAnsi="Times New Roman"/>
            <w:b w:val="false"/>
            <w:i w:val="false"/>
            <w:color w:val="000000"/>
            <w:sz w:val="22"/>
          </w:rPr>
          <w:t>481—961.2</w:t>
        </w:r>
      </w:hyperlink>
      <w:r>
        <w:rPr>
          <w:rFonts w:ascii="Times New Roman" w:hAnsi="Times New Roman"/>
          <w:b w:val="false"/>
          <w:i w:val="false"/>
          <w:color w:val="000000"/>
          <w:sz w:val="22"/>
        </w:rPr>
        <w:t>(154E);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similar to those required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an equivalency evaluation of foreign educational credentials sent directly from the equivalency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961.4(2)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481—961.5</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sign language interpreter or transliterator will begin on July 1 of an odd-numbered year and end on June 30 of the next odd-numbered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as provided in 481—subrules </w:t>
      </w:r>
      <w:hyperlink r:id="rId13">
        <w:r>
          <w:rPr>
            <w:rStyle w:val="Hyperlink"/>
            <w:rFonts w:ascii="Times New Roman" w:hAnsi="Times New Roman"/>
            <w:b w:val="false"/>
            <w:i w:val="false"/>
            <w:color w:val="000000"/>
            <w:sz w:val="22"/>
          </w:rPr>
          <w:t>962.2(1)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962.2(2)</w:t>
        </w:r>
      </w:hyperlink>
      <w:r>
        <w:rPr>
          <w:rFonts w:ascii="Times New Roman" w:hAnsi="Times New Roman"/>
          <w:b w:val="false"/>
          <w:i w:val="false"/>
          <w:color w:val="000000"/>
          <w:sz w:val="22"/>
        </w:rPr>
        <w:t xml:space="preserve"> or, in lieu of meeting such requirements, provide proof of a current national interpreter certification issued by an organization recognized by the board (e.g., Registry of Interpreters for the Deaf (RID); National Association of the Deaf (NAD); NAD-RID National Interpreter Certification (NIC)) as evidence of meeting continuing education requirements. A licensee whose license was reactivated during the current biennial license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and attach verification of completion of continuing education hours on the website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961.5(5)</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5">
        <w:r>
          <w:rPr>
            <w:rStyle w:val="Hyperlink"/>
            <w:rFonts w:ascii="Times New Roman" w:hAnsi="Times New Roman"/>
            <w:b w:val="false"/>
            <w:i w:val="false"/>
            <w:color w:val="000000"/>
            <w:sz w:val="22"/>
          </w:rPr>
          <w:t>481—subrule 507.18(4)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961.5(7)</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whose license is inactive continues to hold the privilege of licensure in Iowa, but may 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needs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 the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submit a license verification document that discloses disciplinary action taken against the license in the jurisdiction where the applicant was most recently licensed. The document should come directly from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sign language interpreting or transliterating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in which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completing 40 hours of continuing education within two years of the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a current certification as identified in subrule </w:t>
      </w:r>
      <w:r>
        <w:rPr>
          <w:rFonts w:ascii="Times New Roman" w:hAnsi="Times New Roman"/>
          <w:b w:val="false"/>
          <w:i w:val="false"/>
          <w:color w:val="000000"/>
          <w:sz w:val="22"/>
        </w:rPr>
        <w:t>961.2(1)</w:t>
      </w:r>
      <w:r>
        <w:rPr>
          <w:rFonts w:ascii="Times New Roman" w:hAnsi="Times New Roman"/>
          <w:b w:val="false"/>
          <w:i w:val="false"/>
          <w:color w:val="000000"/>
          <w:sz w:val="22"/>
        </w:rPr>
        <w:t xml:space="preserve">, or of passing an examination identified in subrule </w:t>
      </w:r>
      <w:r>
        <w:rPr>
          <w:rFonts w:ascii="Times New Roman" w:hAnsi="Times New Roman"/>
          <w:b w:val="false"/>
          <w:i w:val="false"/>
          <w:color w:val="000000"/>
          <w:sz w:val="22"/>
        </w:rPr>
        <w:t>961.2(1)</w:t>
      </w:r>
      <w:r>
        <w:rPr>
          <w:rFonts w:ascii="Times New Roman" w:hAnsi="Times New Roman"/>
          <w:b w:val="false"/>
          <w:i w:val="false"/>
          <w:color w:val="000000"/>
          <w:sz w:val="22"/>
        </w:rPr>
        <w:t>, which was passed after the license became inactive;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licensed and has been practicing during the time period in which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80 hours of continuing education within two years of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a current certification as identified in subrule </w:t>
      </w:r>
      <w:r>
        <w:rPr>
          <w:rFonts w:ascii="Times New Roman" w:hAnsi="Times New Roman"/>
          <w:b w:val="false"/>
          <w:i w:val="false"/>
          <w:color w:val="000000"/>
          <w:sz w:val="22"/>
        </w:rPr>
        <w:t>961.2(1)</w:t>
      </w:r>
      <w:r>
        <w:rPr>
          <w:rFonts w:ascii="Times New Roman" w:hAnsi="Times New Roman"/>
          <w:b w:val="false"/>
          <w:i w:val="false"/>
          <w:color w:val="000000"/>
          <w:sz w:val="22"/>
        </w:rPr>
        <w:t xml:space="preserve">, or of passing an examination identified in subrule </w:t>
      </w:r>
      <w:r>
        <w:rPr>
          <w:rFonts w:ascii="Times New Roman" w:hAnsi="Times New Roman"/>
          <w:b w:val="false"/>
          <w:i w:val="false"/>
          <w:color w:val="000000"/>
          <w:sz w:val="22"/>
        </w:rPr>
        <w:t>961.2(1)</w:t>
      </w:r>
      <w:r>
        <w:rPr>
          <w:rFonts w:ascii="Times New Roman" w:hAnsi="Times New Roman"/>
          <w:b w:val="false"/>
          <w:i w:val="false"/>
          <w:color w:val="000000"/>
          <w:sz w:val="22"/>
        </w:rPr>
        <w:t>, which was passed after the license became inactive;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Verification of active practice, consisting of a minimum of 2,080 hours, in another state or jurisdiction during the two years preceding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sign language interpreting or transliterating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4/28/05, Notice 3/16/05—published 5/25/05, effective 7/1/05]</w:t>
      </w:r>
    </w:p>
    <w:p>
      <w:pPr>
        <w:spacing w:before="0" w:after="0"/>
        <w:ind w:left="120"/>
        <w:jc w:val="center"/>
      </w:pPr>
      <w:r>
        <w:rPr>
          <w:rFonts w:ascii="Times New Roman" w:hAnsi="Times New Roman"/>
          <w:b w:val="false"/>
          <w:i w:val="false"/>
          <w:color w:val="000000"/>
          <w:sz w:val="21"/>
        </w:rPr>
        <w:t>[Filed 11/29/05, Notice 9/14/05—published 12/21/05, effective 1/25/06]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[Filed 2/19/08, Notice 12/19/07—published 3/12/08,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7643B</w:t>
      </w:r>
      <w:r>
        <w:rPr>
          <w:rFonts w:ascii="Times New Roman" w:hAnsi="Times New Roman"/>
          <w:b w:val="false"/>
          <w:i w:val="false"/>
          <w:color w:val="000000"/>
          <w:sz w:val="21"/>
        </w:rPr>
        <w:t xml:space="preserve"> (Notice ARC 7407B,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9427B</w:t>
      </w:r>
      <w:r>
        <w:rPr>
          <w:rFonts w:ascii="Times New Roman" w:hAnsi="Times New Roman"/>
          <w:b w:val="false"/>
          <w:i w:val="false"/>
          <w:color w:val="000000"/>
          <w:sz w:val="21"/>
        </w:rPr>
        <w:t xml:space="preserve"> (Notice ARC 9259B, IAB 12/15/10)</w:t>
      </w:r>
      <w:r>
        <w:rPr>
          <w:rFonts w:ascii="Times New Roman" w:hAnsi="Times New Roman"/>
          <w:b w:val="false"/>
          <w:i w:val="false"/>
          <w:color w:val="000000"/>
          <w:sz w:val="21"/>
        </w:rPr>
        <w:t>, IAB 3/23/11, effective 4/27/11]</w:t>
      </w:r>
    </w:p>
    <w:p>
      <w:pPr>
        <w:spacing w:before="0" w:after="0"/>
        <w:ind w:left="120"/>
        <w:jc w:val="center"/>
      </w:pPr>
      <w:r>
        <w:rPr>
          <w:rFonts w:ascii="Times New Roman" w:hAnsi="Times New Roman"/>
          <w:b w:val="false"/>
          <w:i w:val="false"/>
          <w:color w:val="000000"/>
          <w:sz w:val="21"/>
        </w:rPr>
        <w:t>[Filed ARC 0405C</w:t>
      </w:r>
      <w:r>
        <w:rPr>
          <w:rFonts w:ascii="Times New Roman" w:hAnsi="Times New Roman"/>
          <w:b w:val="false"/>
          <w:i w:val="false"/>
          <w:color w:val="000000"/>
          <w:sz w:val="21"/>
        </w:rPr>
        <w:t xml:space="preserve"> (Notice ARC 0228C, IAB 7/25/12)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2744C</w:t>
      </w:r>
      <w:r>
        <w:rPr>
          <w:rFonts w:ascii="Times New Roman" w:hAnsi="Times New Roman"/>
          <w:b w:val="false"/>
          <w:i w:val="false"/>
          <w:color w:val="000000"/>
          <w:sz w:val="21"/>
        </w:rPr>
        <w:t xml:space="preserve"> (Notice ARC 2597C,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5773C</w:t>
      </w:r>
      <w:r>
        <w:rPr>
          <w:rFonts w:ascii="Times New Roman" w:hAnsi="Times New Roman"/>
          <w:b w:val="false"/>
          <w:i w:val="false"/>
          <w:color w:val="000000"/>
          <w:sz w:val="21"/>
        </w:rPr>
        <w:t xml:space="preserve"> (Notice ARC 5459C,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6146C</w:t>
      </w:r>
      <w:r>
        <w:rPr>
          <w:rFonts w:ascii="Times New Roman" w:hAnsi="Times New Roman"/>
          <w:b w:val="false"/>
          <w:i w:val="false"/>
          <w:color w:val="000000"/>
          <w:sz w:val="21"/>
        </w:rPr>
        <w:t xml:space="preserve"> (Notice ARC 5821C, IAB 8/11/21)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7001C</w:t>
      </w:r>
      <w:r>
        <w:rPr>
          <w:rFonts w:ascii="Times New Roman" w:hAnsi="Times New Roman"/>
          <w:b w:val="false"/>
          <w:i w:val="false"/>
          <w:color w:val="000000"/>
          <w:sz w:val="21"/>
        </w:rPr>
        <w:t xml:space="preserve"> (Notice ARC 6659C,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7829C</w:t>
      </w:r>
      <w:r>
        <w:rPr>
          <w:rFonts w:ascii="Times New Roman" w:hAnsi="Times New Roman"/>
          <w:b w:val="false"/>
          <w:i w:val="false"/>
          <w:color w:val="000000"/>
          <w:sz w:val="21"/>
        </w:rPr>
        <w:t xml:space="preserve"> (Notice ARC 7487C,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61.9.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co/chapter/154E.3.pdf" Type="http://schemas.openxmlformats.org/officeDocument/2006/relationships/hyperlink" Id="rId7"/>
    <Relationship TargetMode="External" Target="https://www.legis.iowa.gov/docs/iac/rule/481.501.2.pdf" Type="http://schemas.openxmlformats.org/officeDocument/2006/relationships/hyperlink" Id="rId8"/>
    <Relationship TargetMode="External" Target="https://www.legis.iowa.gov/docs/iac/rule/645.361.3.pdf" Type="http://schemas.openxmlformats.org/officeDocument/2006/relationships/hyperlink" Id="rId9"/>
    <Relationship TargetMode="External" Target="https://www.legis.iowa.gov/docs/ico/chapter/154E.pdf" Type="http://schemas.openxmlformats.org/officeDocument/2006/relationships/hyperlink" Id="rId10"/>
    <Relationship TargetMode="External" Target="https://www.legis.iowa.gov/docs/iac/rule/481.961.2.pdf" Type="http://schemas.openxmlformats.org/officeDocument/2006/relationships/hyperlink" Id="rId11"/>
    <Relationship TargetMode="External" Target="https://www.legis.iowa.gov/docs/iac/rule/481.501.1.pdf" Type="http://schemas.openxmlformats.org/officeDocument/2006/relationships/hyperlink" Id="rId12"/>
    <Relationship TargetMode="External" Target="https://www.legis.iowa.gov/docs/iac/rule/481.962.2.pdf" Type="http://schemas.openxmlformats.org/officeDocument/2006/relationships/hyperlink" Id="rId13"/>
    <Relationship TargetMode="External" Target="https://www.legis.iowa.gov/docs/iac/rule/481.962.2.pdf" Type="http://schemas.openxmlformats.org/officeDocument/2006/relationships/hyperlink" Id="rId14"/>
    <Relationship TargetMode="External" Target="https://www.legis.iowa.gov/docs/iac/rule/481.507.18.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co/chapter/154E.pdf" Type="http://schemas.openxmlformats.org/officeDocument/2006/relationships/hyperlink" Id="rId18"/>
    <Relationship TargetMode="External" Target="https://www.legis.iowa.gov/docs/ico/chapter/272C.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