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944</w:t>
      </w:r>
    </w:p>
    <w:p>
      <w:pPr>
        <w:spacing w:before="0" w:after="0"/>
        <w:ind w:left="120"/>
        <w:jc w:val="center"/>
      </w:pPr>
      <w:r>
        <w:rPr>
          <w:rFonts w:ascii="Times New Roman" w:hAnsi="Times New Roman"/>
          <w:b w:val="false"/>
          <w:i w:val="false"/>
          <w:color w:val="000000"/>
          <w:sz w:val="21"/>
        </w:rPr>
        <w:t>CONTINUING EDUCATION FOR BARBERING AND COSMETOLOGY ARTS AND SCIENCES</w:t>
      </w:r>
    </w:p>
    <w:p>
      <w:pPr>
        <w:spacing w:before="0" w:after="0"/>
        <w:ind w:left="120"/>
        <w:jc w:val="center"/>
      </w:pPr>
      <w:r>
        <w:rPr>
          <w:rFonts w:ascii="Times New Roman" w:hAnsi="Times New Roman"/>
          <w:b w:val="false"/>
          <w:i w:val="false"/>
          <w:color w:val="000000"/>
          <w:sz w:val="14"/>
        </w:rPr>
        <w:t>[Prior to 7/29/87, Health Department[470] Ch 151]</w:t>
      </w:r>
    </w:p>
    <w:p>
      <w:pPr>
        <w:spacing w:before="0" w:after="0"/>
        <w:ind w:left="120"/>
        <w:jc w:val="center"/>
      </w:pPr>
      <w:r>
        <w:rPr>
          <w:rFonts w:ascii="Times New Roman" w:hAnsi="Times New Roman"/>
          <w:b w:val="false"/>
          <w:i w:val="false"/>
          <w:color w:val="000000"/>
          <w:sz w:val="14"/>
        </w:rPr>
        <w:t>[Prior to 12/23/92, see 645—Chapter 62]</w:t>
      </w:r>
    </w:p>
    <w:p>
      <w:pPr>
        <w:spacing w:before="0" w:after="0"/>
        <w:ind w:left="120"/>
        <w:jc w:val="center"/>
      </w:pPr>
      <w:r>
        <w:rPr>
          <w:rFonts w:ascii="Times New Roman" w:hAnsi="Times New Roman"/>
          <w:b w:val="false"/>
          <w:i w:val="false"/>
          <w:color w:val="000000"/>
          <w:sz w:val="14"/>
        </w:rPr>
        <w:t>[Prior to 9/18/24, see Professional Licensure Division[645] Ch 64]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481—944.1</w:t>
      </w:r>
      <w:r>
        <w:rPr>
          <w:rFonts w:ascii="Times New Roman" w:hAnsi="Times New Roman"/>
          <w:b/>
          <w:i w:val="false"/>
          <w:color w:val="000000"/>
          <w:sz w:val="22"/>
        </w:rPr>
        <w:t xml:space="preserve">(157)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or entity licensed to practice pursuant to Iowa Code chapter </w:t>
      </w:r>
      <w:hyperlink r:id="rId5">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481—Chapters 940 through 946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discipline” </w:t>
      </w:r>
      <w:r>
        <w:rPr>
          <w:rFonts w:ascii="Times New Roman" w:hAnsi="Times New Roman"/>
          <w:b w:val="false"/>
          <w:i w:val="false"/>
          <w:color w:val="000000"/>
          <w:sz w:val="22"/>
        </w:rPr>
        <w:t>means the practice of electrology, esthetics, nail technology, or barbering and cosmetology as recognized by the board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“Prescribed practice” </w:t>
      </w:r>
      <w:r>
        <w:rPr>
          <w:rFonts w:ascii="Times New Roman" w:hAnsi="Times New Roman"/>
          <w:b w:val="false"/>
          <w:i w:val="false"/>
          <w:color w:val="000000"/>
          <w:sz w:val="22"/>
        </w:rPr>
        <w:t>means an area of specialty certified by the board within the scope of barbering and cosmetology arts and sciences.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7923C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481—944.2</w:t>
      </w:r>
      <w:r>
        <w:rPr>
          <w:rFonts w:ascii="Times New Roman" w:hAnsi="Times New Roman"/>
          <w:b/>
          <w:i w:val="false"/>
          <w:color w:val="000000"/>
          <w:sz w:val="22"/>
        </w:rPr>
        <w:t xml:space="preserve">(157)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shall begin on April 1 of one year and end on March 31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944.2(2)</w:t>
      </w:r>
      <w:r>
        <w:rPr>
          <w:rFonts w:ascii="Times New Roman" w:hAnsi="Times New Roman"/>
          <w:b w:val="false"/>
          <w:i w:val="false"/>
          <w:color w:val="000000"/>
          <w:sz w:val="22"/>
        </w:rPr>
        <w:t> </w:t>
      </w:r>
      <w:r>
        <w:rPr>
          <w:rFonts w:ascii="Times New Roman" w:hAnsi="Times New Roman"/>
          <w:b w:val="false"/>
          <w:i w:val="false"/>
          <w:color w:val="000000"/>
          <w:sz w:val="22"/>
        </w:rPr>
        <w:t>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in this state shall be required to complete a minimum of six hours of continuing education that meets the requirements of rule </w:t>
      </w:r>
      <w:hyperlink r:id="rId7">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A minimum of four of the six hours shall be in the prescribed practice discipline and a minimum of two of the six hours shall be in the content areas of Iowa barbering and cosmetology law and rules and sanitation. Individuals holding more than one active license shall obtain four hours of continuing education in each prescribed practice discipline and an additional two hours in the content areas of Iowa barbering and cosmetology law and rules and infection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an instructor of barbering and cosmetology arts and sciences shall obtain six hours in teaching methodology in addition to meeting all continuing education requirements for renewal of the instructor’s practice license. A licensee must comply with all conditions of licensure including obtaining a minimum of two hours each biennium specific to Iowa barbering and cosmetology law and administrative rules as specified in subrule </w:t>
      </w:r>
      <w:r>
        <w:rPr>
          <w:rFonts w:ascii="Times New Roman" w:hAnsi="Times New Roman"/>
          <w:b w:val="false"/>
          <w:i w:val="false"/>
          <w:color w:val="000000"/>
          <w:sz w:val="22"/>
        </w:rPr>
        <w:t>944.3(2)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currently licensed in Iowa but practicing exclusively in another state may comply with Iowa continuing education requirements for license renewal by meeting the continuing education requirements of the state or states where the licensee practices. The licensee living and practicing in a state that has no continuing education requirement for renewal of a license shall not be required to meet Iowa’s continuing education requirement but shall pay all renewal fees when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shall be deemed to have complied with the continuing education requirements of this state during periods that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Serves honorably on active duty in the military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the spouse of an active duty military service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a government employee working in the person’s licensed specialty and assigned to duty outside of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engaged in active practice and absent from the state, as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944.2(3)</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944.2(4)</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944.2(5)</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shall be carried over into the next biennium.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944.2(6)</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944.2(7)</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blow-dry stylists are outlined in Iowa Code section </w:t>
      </w:r>
      <w:hyperlink r:id="rId8">
        <w:r>
          <w:rPr>
            <w:rStyle w:val="Hyperlink"/>
            <w:rFonts w:ascii="Times New Roman" w:hAnsi="Times New Roman"/>
            <w:b w:val="false"/>
            <w:i w:val="false"/>
            <w:color w:val="000000"/>
            <w:sz w:val="22"/>
          </w:rPr>
          <w:t>157.12C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7923C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481—944.3</w:t>
      </w:r>
      <w:r>
        <w:rPr>
          <w:rFonts w:ascii="Times New Roman" w:hAnsi="Times New Roman"/>
          <w:b/>
          <w:i w:val="false"/>
          <w:color w:val="000000"/>
          <w:sz w:val="22"/>
        </w:rPr>
        <w:t xml:space="preserve">(157,272C)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 sponsor(s);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 xml:space="preserve">The licensee may obtain the minimum continuing education hours of credit outlined in paragraph </w:t>
      </w:r>
      <w:r>
        <w:rPr>
          <w:rFonts w:ascii="Times New Roman" w:hAnsi="Times New Roman"/>
          <w:b w:val="false"/>
          <w:i w:val="false"/>
          <w:color w:val="000000"/>
          <w:sz w:val="22"/>
        </w:rPr>
        <w:t>944.2(2)</w:t>
      </w:r>
      <w:r>
        <w:rPr>
          <w:rFonts w:ascii="Times New Roman" w:hAnsi="Times New Roman"/>
          <w:b w:val="false"/>
          <w:i/>
          <w:color w:val="000000"/>
          <w:sz w:val="22"/>
        </w:rPr>
        <w:t>“a”</w:t>
      </w:r>
      <w:r>
        <w:rPr>
          <w:rFonts w:ascii="Times New Roman" w:hAnsi="Times New Roman"/>
          <w:b w:val="false"/>
          <w:i w:val="false"/>
          <w:color w:val="000000"/>
          <w:sz w:val="22"/>
        </w:rPr>
        <w:t xml:space="preserv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Attending workshops, trade shows,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Accessing online training, such as viewing interactive conferences, attending webinars, or completing online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Attending programs on product knowledge, methods and systems. Continuing education shall be directly related to the technique and theory specific to the practice of barbering and cosmetology arts and sciences. No direct selling of products is allowed as part of a continuing education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Attending business classes specific to owning or managing an establishment are acceptable. In addition to fulfilling the requirements in rule </w:t>
      </w:r>
      <w:hyperlink r:id="rId9">
        <w:r>
          <w:rPr>
            <w:rStyle w:val="Hyperlink"/>
            <w:rFonts w:ascii="Times New Roman" w:hAnsi="Times New Roman"/>
            <w:b w:val="false"/>
            <w:i w:val="false"/>
            <w:color w:val="000000"/>
            <w:sz w:val="22"/>
          </w:rPr>
          <w:t>481—944.2</w:t>
        </w:r>
      </w:hyperlink>
      <w:r>
        <w:rPr>
          <w:rFonts w:ascii="Times New Roman" w:hAnsi="Times New Roman"/>
          <w:b w:val="false"/>
          <w:i w:val="false"/>
          <w:color w:val="000000"/>
          <w:sz w:val="22"/>
        </w:rPr>
        <w:t>(157), for each prescribed practice license held by a licensee, the licensee is to complete four hours in each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944.3(3)</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for providers and sponsors of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shall be obtained by attending programs that meet the criteria in subrule </w:t>
      </w:r>
      <w:r>
        <w:rPr>
          <w:rFonts w:ascii="Times New Roman" w:hAnsi="Times New Roman"/>
          <w:b w:val="false"/>
          <w:i w:val="false"/>
          <w:color w:val="000000"/>
          <w:sz w:val="22"/>
        </w:rPr>
        <w:t>944.3(1)</w:t>
      </w:r>
      <w:r>
        <w:rPr>
          <w:rFonts w:ascii="Times New Roman" w:hAnsi="Times New Roman"/>
          <w:b w:val="false"/>
          <w:i w:val="false"/>
          <w:color w:val="000000"/>
          <w:sz w:val="22"/>
        </w:rPr>
        <w:t xml:space="preserve">. Individuals or groups may offer continuing education programs for any prescribed practice within the barbering and cosmetology arts and sciences that meet the criteria in rule </w:t>
      </w:r>
      <w:hyperlink r:id="rId10">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offered by or with express sponsorship in advance of delivery by the following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Barbering and cosmetology arts and sciences organizations,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National, state or local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Schools and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Textbook publishers.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Universities, colleges or 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intense pulsed light (IPL) or microdermabrasion is within the licensee’s prescribed practice as outlined in rule </w:t>
      </w:r>
      <w:hyperlink r:id="rId11">
        <w:r>
          <w:rPr>
            <w:rStyle w:val="Hyperlink"/>
            <w:rFonts w:ascii="Times New Roman" w:hAnsi="Times New Roman"/>
            <w:b w:val="false"/>
            <w:i w:val="false"/>
            <w:color w:val="000000"/>
            <w:sz w:val="22"/>
          </w:rPr>
          <w:t>481—940.5</w:t>
        </w:r>
      </w:hyperlink>
      <w:r>
        <w:rPr>
          <w:rFonts w:ascii="Times New Roman" w:hAnsi="Times New Roman"/>
          <w:b w:val="false"/>
          <w:i w:val="false"/>
          <w:color w:val="000000"/>
          <w:sz w:val="22"/>
        </w:rPr>
        <w:t>(157), manufacturers or institutes of laser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a presenter of a continuing education program that meets the criteria in rule </w:t>
      </w:r>
      <w:hyperlink r:id="rId12">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may receive credit once per biennium for the initial presentation of the program. The presenter may receive the same number of hours granted the attendees.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7923C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14">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6/20/78, Notice 5/3/78—published 7/12/78, effective 8/16/78]</w:t>
      </w:r>
    </w:p>
    <w:p>
      <w:pPr>
        <w:spacing w:before="0" w:after="0"/>
        <w:ind w:left="120"/>
        <w:jc w:val="center"/>
      </w:pPr>
      <w:r>
        <w:rPr>
          <w:rFonts w:ascii="Times New Roman" w:hAnsi="Times New Roman"/>
          <w:b w:val="false"/>
          <w:i w:val="false"/>
          <w:color w:val="000000"/>
          <w:sz w:val="21"/>
        </w:rPr>
        <w:t>[Filed 8/3/79, Notice 6/27/79—published 8/22/79, effective 9/26/79]</w:t>
      </w:r>
    </w:p>
    <w:p>
      <w:pPr>
        <w:spacing w:before="0" w:after="0"/>
        <w:ind w:left="120"/>
        <w:jc w:val="center"/>
      </w:pPr>
      <w:r>
        <w:rPr>
          <w:rFonts w:ascii="Times New Roman" w:hAnsi="Times New Roman"/>
          <w:b w:val="false"/>
          <w:i w:val="false"/>
          <w:color w:val="000000"/>
          <w:sz w:val="21"/>
        </w:rPr>
        <w:t>[Filed 2/12/82, Notice 12/23/81—published 3/3/82, effective 4/9/82]</w:t>
      </w:r>
    </w:p>
    <w:p>
      <w:pPr>
        <w:spacing w:before="0" w:after="0"/>
        <w:ind w:left="120"/>
        <w:jc w:val="center"/>
      </w:pPr>
      <w:r>
        <w:rPr>
          <w:rFonts w:ascii="Times New Roman" w:hAnsi="Times New Roman"/>
          <w:b w:val="false"/>
          <w:i w:val="false"/>
          <w:color w:val="000000"/>
          <w:sz w:val="21"/>
        </w:rPr>
        <w:t>[Filed 10/6/83, Notice 7/20/83—published 10/26/83, effective 11/30/83]</w:t>
      </w:r>
    </w:p>
    <w:p>
      <w:pPr>
        <w:spacing w:before="0" w:after="0"/>
        <w:ind w:left="120"/>
        <w:jc w:val="center"/>
      </w:pPr>
      <w:r>
        <w:rPr>
          <w:rFonts w:ascii="Times New Roman" w:hAnsi="Times New Roman"/>
          <w:b w:val="false"/>
          <w:i w:val="false"/>
          <w:color w:val="000000"/>
          <w:sz w:val="21"/>
        </w:rPr>
        <w:t>[Filed emergency 8/31/84—published 9/26/84, effective 8/31/84]</w:t>
      </w:r>
    </w:p>
    <w:p>
      <w:pPr>
        <w:spacing w:before="0" w:after="0"/>
        <w:ind w:left="120"/>
        <w:jc w:val="center"/>
      </w:pPr>
      <w:r>
        <w:rPr>
          <w:rFonts w:ascii="Times New Roman" w:hAnsi="Times New Roman"/>
          <w:b w:val="false"/>
          <w:i w:val="false"/>
          <w:color w:val="000000"/>
          <w:sz w:val="21"/>
        </w:rPr>
        <w:t>[Filed 10/4/85, Notice 8/28/85—published 10/23/85, effective 11/27/85]</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5/25/89, Notice 4/5/89—published 6/14/89, effective 7/19/89]</w:t>
      </w:r>
    </w:p>
    <w:p>
      <w:pPr>
        <w:spacing w:before="0" w:after="0"/>
        <w:ind w:left="120"/>
        <w:jc w:val="center"/>
      </w:pPr>
      <w:r>
        <w:rPr>
          <w:rFonts w:ascii="Times New Roman" w:hAnsi="Times New Roman"/>
          <w:b w:val="false"/>
          <w:i w:val="false"/>
          <w:color w:val="000000"/>
          <w:sz w:val="21"/>
        </w:rPr>
        <w:t>[Filed 8/4/89, Notice 6/14/89—published 8/23/89, effective 9/27/89]</w:t>
      </w:r>
    </w:p>
    <w:p>
      <w:pPr>
        <w:spacing w:before="0" w:after="0"/>
        <w:ind w:left="120"/>
        <w:jc w:val="center"/>
      </w:pPr>
      <w:r>
        <w:rPr>
          <w:rFonts w:ascii="Times New Roman" w:hAnsi="Times New Roman"/>
          <w:b w:val="false"/>
          <w:i w:val="false"/>
          <w:color w:val="000000"/>
          <w:sz w:val="21"/>
        </w:rPr>
        <w:t>[Filed 2/2/90, Notice 12/27/89—published 2/21/90, effective 3/28/90]</w:t>
      </w:r>
    </w:p>
    <w:p>
      <w:pPr>
        <w:spacing w:before="0" w:after="0"/>
        <w:ind w:left="120"/>
        <w:jc w:val="center"/>
      </w:pPr>
      <w:r>
        <w:rPr>
          <w:rFonts w:ascii="Times New Roman" w:hAnsi="Times New Roman"/>
          <w:b w:val="false"/>
          <w:i w:val="false"/>
          <w:color w:val="000000"/>
          <w:sz w:val="21"/>
        </w:rPr>
        <w:t>[Filed 12/4/92, Notice 8/5/92—published 12/23/92, effective 1/29/93]</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4/19/95, Notice 2/1/95—published 5/10/95, effective 6/14/95]</w:t>
      </w:r>
    </w:p>
    <w:p>
      <w:pPr>
        <w:spacing w:before="0" w:after="0"/>
        <w:ind w:left="120"/>
        <w:jc w:val="center"/>
      </w:pPr>
      <w:r>
        <w:rPr>
          <w:rFonts w:ascii="Times New Roman" w:hAnsi="Times New Roman"/>
          <w:b w:val="false"/>
          <w:i w:val="false"/>
          <w:color w:val="000000"/>
          <w:sz w:val="21"/>
        </w:rPr>
        <w:t>[Filed 11/2/95, Notice 9/13/95—published 11/22/95, effective 12/27/95]</w:t>
      </w:r>
    </w:p>
    <w:p>
      <w:pPr>
        <w:spacing w:before="0" w:after="0"/>
        <w:ind w:left="120"/>
        <w:jc w:val="center"/>
      </w:pPr>
      <w:r>
        <w:rPr>
          <w:rFonts w:ascii="Times New Roman" w:hAnsi="Times New Roman"/>
          <w:b w:val="false"/>
          <w:i w:val="false"/>
          <w:color w:val="000000"/>
          <w:sz w:val="21"/>
        </w:rPr>
        <w:t>[Filed 11/15/96, Notice 9/11/96—published 12/4/96, effective 1/8/97]</w:t>
      </w:r>
    </w:p>
    <w:p>
      <w:pPr>
        <w:spacing w:before="0" w:after="0"/>
        <w:ind w:left="120"/>
        <w:jc w:val="center"/>
      </w:pPr>
      <w:r>
        <w:rPr>
          <w:rFonts w:ascii="Times New Roman" w:hAnsi="Times New Roman"/>
          <w:b w:val="false"/>
          <w:i w:val="false"/>
          <w:color w:val="000000"/>
          <w:sz w:val="21"/>
        </w:rPr>
        <w:t>[Filed 2/19/99, Notice 12/2/98—published 3/10/99, effective 4/14/99]</w:t>
      </w:r>
    </w:p>
    <w:p>
      <w:pPr>
        <w:spacing w:before="0" w:after="0"/>
        <w:ind w:left="120"/>
        <w:jc w:val="center"/>
      </w:pPr>
      <w:r>
        <w:rPr>
          <w:rFonts w:ascii="Times New Roman" w:hAnsi="Times New Roman"/>
          <w:b w:val="false"/>
          <w:i w:val="false"/>
          <w:color w:val="000000"/>
          <w:sz w:val="21"/>
        </w:rPr>
        <w:t>[Filed 2/1/01, Notice 11/29/00—published 2/21/01, effective 3/28/01]</w:t>
      </w:r>
    </w:p>
    <w:p>
      <w:pPr>
        <w:spacing w:before="0" w:after="0"/>
        <w:ind w:left="120"/>
        <w:jc w:val="center"/>
      </w:pPr>
      <w:r>
        <w:rPr>
          <w:rFonts w:ascii="Times New Roman" w:hAnsi="Times New Roman"/>
          <w:b w:val="false"/>
          <w:i w:val="false"/>
          <w:color w:val="000000"/>
          <w:sz w:val="21"/>
        </w:rPr>
        <w:t>[Filed 2/13/02, Notice 11/28/01—published 3/6/02, effective 4/10/02]</w:t>
      </w:r>
    </w:p>
    <w:p>
      <w:pPr>
        <w:spacing w:before="0" w:after="0"/>
        <w:ind w:left="120"/>
        <w:jc w:val="center"/>
      </w:pPr>
      <w:r>
        <w:rPr>
          <w:rFonts w:ascii="Times New Roman" w:hAnsi="Times New Roman"/>
          <w:b w:val="false"/>
          <w:i w:val="false"/>
          <w:color w:val="000000"/>
          <w:sz w:val="21"/>
        </w:rPr>
        <w:t>[Filed 8/5/05, Notice 5/25/05—published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11/4/05, Notice 9/28/05—published 11/23/05, effective 12/28/05]</w:t>
      </w:r>
    </w:p>
    <w:p>
      <w:pPr>
        <w:spacing w:before="0" w:after="0"/>
        <w:ind w:left="120"/>
        <w:jc w:val="center"/>
      </w:pPr>
      <w:r>
        <w:rPr>
          <w:rFonts w:ascii="Times New Roman" w:hAnsi="Times New Roman"/>
          <w:b w:val="false"/>
          <w:i w:val="false"/>
          <w:color w:val="000000"/>
          <w:sz w:val="21"/>
        </w:rPr>
        <w:t>[Filed 1/11/07, Notice 11/22/06—published 1/31/07, effective 3/7/07]</w:t>
      </w:r>
    </w:p>
    <w:p>
      <w:pPr>
        <w:spacing w:before="0" w:after="0"/>
        <w:ind w:left="120"/>
        <w:jc w:val="center"/>
      </w:pPr>
      <w:r>
        <w:rPr>
          <w:rFonts w:ascii="Times New Roman" w:hAnsi="Times New Roman"/>
          <w:b w:val="false"/>
          <w:i w:val="false"/>
          <w:color w:val="000000"/>
          <w:sz w:val="21"/>
        </w:rPr>
        <w:t>[Filed 10/24/07,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8515B</w:t>
      </w:r>
      <w:r>
        <w:rPr>
          <w:rFonts w:ascii="Times New Roman" w:hAnsi="Times New Roman"/>
          <w:b w:val="false"/>
          <w:i w:val="false"/>
          <w:color w:val="000000"/>
          <w:sz w:val="21"/>
        </w:rPr>
        <w:t xml:space="preserve"> (Notice ARC 8330B, IAB 12/2/09)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3558C</w:t>
      </w:r>
      <w:r>
        <w:rPr>
          <w:rFonts w:ascii="Times New Roman" w:hAnsi="Times New Roman"/>
          <w:b w:val="false"/>
          <w:i w:val="false"/>
          <w:color w:val="000000"/>
          <w:sz w:val="21"/>
        </w:rPr>
        <w:t xml:space="preserve"> (Notice ARC 3372C,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6952C</w:t>
      </w:r>
      <w:r>
        <w:rPr>
          <w:rFonts w:ascii="Times New Roman" w:hAnsi="Times New Roman"/>
          <w:b w:val="false"/>
          <w:i w:val="false"/>
          <w:color w:val="000000"/>
          <w:sz w:val="21"/>
        </w:rPr>
        <w:t xml:space="preserve"> (Notice ARC 6662C, IAB 11/16/22)</w:t>
      </w:r>
      <w:r>
        <w:rPr>
          <w:rFonts w:ascii="Times New Roman" w:hAnsi="Times New Roman"/>
          <w:b w:val="false"/>
          <w:i w:val="false"/>
          <w:color w:val="000000"/>
          <w:sz w:val="21"/>
        </w:rPr>
        <w:t>, IAB 3/22/23, effective 4/26/23]</w:t>
      </w:r>
    </w:p>
    <w:p>
      <w:pPr>
        <w:spacing w:before="0" w:after="0"/>
        <w:ind w:left="120"/>
        <w:jc w:val="center"/>
      </w:pPr>
      <w:r>
        <w:rPr>
          <w:rFonts w:ascii="Times New Roman" w:hAnsi="Times New Roman"/>
          <w:b w:val="false"/>
          <w:i w:val="false"/>
          <w:color w:val="000000"/>
          <w:sz w:val="21"/>
        </w:rPr>
        <w:t>[Filed ARC 7923C</w:t>
      </w:r>
      <w:r>
        <w:rPr>
          <w:rFonts w:ascii="Times New Roman" w:hAnsi="Times New Roman"/>
          <w:b w:val="false"/>
          <w:i w:val="false"/>
          <w:color w:val="000000"/>
          <w:sz w:val="21"/>
        </w:rPr>
        <w:t xml:space="preserve"> (Notice ARC 7540C, IAB 1/24/24)</w:t>
      </w:r>
      <w:r>
        <w:rPr>
          <w:rFonts w:ascii="Times New Roman" w:hAnsi="Times New Roman"/>
          <w:b w:val="false"/>
          <w:i w:val="false"/>
          <w:color w:val="000000"/>
          <w:sz w:val="21"/>
        </w:rPr>
        <w:t>, IAB 5/1/24, effective 7/1/24]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7.pdf" Type="http://schemas.openxmlformats.org/officeDocument/2006/relationships/hyperlink" Id="rId5"/>
    <Relationship TargetMode="External" Target="https://www.legis.iowa.gov/docs/iac/chapter/481.940-946.pdf" Type="http://schemas.openxmlformats.org/officeDocument/2006/relationships/hyperlink" Id="rId6"/>
    <Relationship TargetMode="External" Target="https://www.legis.iowa.gov/docs/iac/rule/481.944.3.pdf" Type="http://schemas.openxmlformats.org/officeDocument/2006/relationships/hyperlink" Id="rId7"/>
    <Relationship TargetMode="External" Target="https://www.legis.iowa.gov/docs/ico/chapter/157.12C.pdf" Type="http://schemas.openxmlformats.org/officeDocument/2006/relationships/hyperlink" Id="rId8"/>
    <Relationship TargetMode="External" Target="https://www.legis.iowa.gov/docs/iac/rule/481.944.2.pdf" Type="http://schemas.openxmlformats.org/officeDocument/2006/relationships/hyperlink" Id="rId9"/>
    <Relationship TargetMode="External" Target="https://www.legis.iowa.gov/docs/iac/rule/481.944.3.pdf" Type="http://schemas.openxmlformats.org/officeDocument/2006/relationships/hyperlink" Id="rId10"/>
    <Relationship TargetMode="External" Target="https://www.legis.iowa.gov/docs/iac/rule/481.940.5.pdf" Type="http://schemas.openxmlformats.org/officeDocument/2006/relationships/hyperlink" Id="rId11"/>
    <Relationship TargetMode="External" Target="https://www.legis.iowa.gov/docs/iac/rule/481.944.3.pdf" Type="http://schemas.openxmlformats.org/officeDocument/2006/relationships/hyperlink" Id="rId12"/>
    <Relationship TargetMode="External" Target="https://www.legis.iowa.gov/docs/ico/chapter/272C.2.pdf" Type="http://schemas.openxmlformats.org/officeDocument/2006/relationships/hyperlink" Id="rId13"/>
    <Relationship TargetMode="External" Target="https://www.legis.iowa.gov/docs/ico/chapter/157.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