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PUBLIC ASSISTANCE DEBT RECOVERY UNIT</w:t>
      </w:r>
    </w:p>
    <w:p>
      <w:pPr>
        <w:spacing w:before="0" w:after="0"/>
        <w:ind w:left="120"/>
        <w:jc w:val="center"/>
      </w:pPr>
      <w:r>
        <w:rPr>
          <w:rFonts w:ascii="Times New Roman" w:hAnsi="Times New Roman"/>
          <w:b w:val="false"/>
          <w:i w:val="false"/>
          <w:color w:val="000000"/>
          <w:sz w:val="14"/>
        </w:rPr>
        <w:t>[Prior to 4/7/10, see 481—Ch 71]</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xml:space="preserve">These rules define the department’s policies regarding the recovery of public assistance debts. See also Iowa Administrative Code </w:t>
      </w:r>
      <w:hyperlink r:id="rId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 “Collection of Public Assistance Debts.”</w:t>
      </w:r>
    </w:p>
    <w:p>
      <w:pPr>
        <w:spacing w:before="0" w:after="0"/>
        <w:ind w:left="120"/>
        <w:jc w:val="both"/>
      </w:pPr>
      <w:r>
        <w:rPr>
          <w:rFonts w:ascii="Times New Roman" w:hAnsi="Times New Roman"/>
          <w:b/>
          <w:i w:val="false"/>
          <w:color w:val="000000"/>
          <w:sz w:val="22"/>
        </w:rPr>
        <w:t>481—90.1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case” </w:t>
      </w:r>
      <w:r>
        <w:rPr>
          <w:rFonts w:ascii="Times New Roman" w:hAnsi="Times New Roman"/>
          <w:b w:val="false"/>
          <w:i w:val="false"/>
          <w:color w:val="000000"/>
          <w:sz w:val="22"/>
        </w:rPr>
        <w:t>means a household that is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“Allotment reduction” </w:t>
      </w:r>
      <w:r>
        <w:rPr>
          <w:rFonts w:ascii="Times New Roman" w:hAnsi="Times New Roman"/>
          <w:b w:val="false"/>
          <w:i w:val="false"/>
          <w:color w:val="000000"/>
          <w:sz w:val="22"/>
        </w:rPr>
        <w:t>means an amount withheld from a financial or supplemental nutrition assistance program (SNAP) benefit. More specifically, “grant reduction” refers to the family investment program (FIP) and to refugee cash assistance (RCA), and “benefit reduction” refers to SNAP.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w:t>
      </w:r>
      <w:r>
        <w:rPr>
          <w:rFonts w:ascii="Times New Roman" w:hAnsi="Times New Roman"/>
          <w:b w:val="false"/>
          <w:i w:val="false"/>
          <w:color w:val="000000"/>
          <w:sz w:val="22"/>
        </w:rPr>
        <w:t>means the dollar amount of public assistance, by program, received by or on behalf of a person or provider in excess of that allowed by law, rules, or regulations for any given month(s); or the dollar amount of public assistance unlawfully transferred or obtained in violation of program rules; or the dollar amount of unpaid IowaCare personal financial responsibility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 xml:space="preserve">means any person who has been determined by DHS or by the department to be responsible for the repayment of a particular public assistance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“DHS”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assistance fraud bureau” </w:t>
      </w:r>
      <w:r>
        <w:rPr>
          <w:rFonts w:ascii="Times New Roman" w:hAnsi="Times New Roman"/>
          <w:b w:val="false"/>
          <w:i w:val="false"/>
          <w:color w:val="000000"/>
          <w:sz w:val="22"/>
        </w:rPr>
        <w:t>means the economic assistance fraud bureau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family investment program described in </w:t>
      </w:r>
      <w:hyperlink r:id="rId6">
        <w:r>
          <w:rPr>
            <w:rStyle w:val="Hyperlink"/>
            <w:rFonts w:ascii="Times New Roman" w:hAnsi="Times New Roman"/>
            <w:b w:val="false"/>
            <w:i w:val="false"/>
            <w:color w:val="000000"/>
            <w:sz w:val="22"/>
          </w:rPr>
          <w:t>441—Chapters 40</w:t>
        </w:r>
      </w:hyperlink>
      <w:r>
        <w:rPr>
          <w:rFonts w:ascii="Times New Roman" w:hAnsi="Times New Roman"/>
          <w:b w:val="false"/>
          <w:i w:val="false"/>
          <w:color w:val="000000"/>
          <w:sz w:val="22"/>
        </w:rPr>
        <w:t xml:space="preserve"> to 46.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debt” </w:t>
      </w:r>
      <w:r>
        <w:rPr>
          <w:rFonts w:ascii="Times New Roman" w:hAnsi="Times New Roman"/>
          <w:b w:val="false"/>
          <w:i w:val="false"/>
          <w:color w:val="000000"/>
          <w:sz w:val="22"/>
        </w:rPr>
        <w:t xml:space="preserve">means a notice that informs the debtor that a debt in a public assistance program has occurred. The notice identifies the debt amount, the dates on which the debt was incurred, the cause of the debt, and the options the debtor has to repay the debt. (See </w:t>
      </w:r>
      <w:hyperlink r:id="rId7">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“Offsetting” </w:t>
      </w:r>
      <w:r>
        <w:rPr>
          <w:rFonts w:ascii="Times New Roman" w:hAnsi="Times New Roman"/>
          <w:b w:val="false"/>
          <w:i w:val="false"/>
          <w:color w:val="000000"/>
          <w:sz w:val="22"/>
        </w:rPr>
        <w:t>means the repayment of a debt by setoff of a state warrant or setoff of state income tax refunds or federal tax refunds and federal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means any program that DHS administers that confers a financial, medical, or SNAP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“RCA” </w:t>
      </w:r>
      <w:r>
        <w:rPr>
          <w:rFonts w:ascii="Times New Roman" w:hAnsi="Times New Roman"/>
          <w:b w:val="false"/>
          <w:i w:val="false"/>
          <w:color w:val="000000"/>
          <w:sz w:val="22"/>
        </w:rPr>
        <w:t xml:space="preserve">means refugee cash assistance described in </w:t>
      </w:r>
      <w:hyperlink r:id="rId8">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the repayment of a debt by direct cash payment from the debtor, by allotment reduction, by offsetting, or by 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“Repayment agreement” </w:t>
      </w:r>
      <w:r>
        <w:rPr>
          <w:rFonts w:ascii="Times New Roman" w:hAnsi="Times New Roman"/>
          <w:b w:val="false"/>
          <w:i w:val="false"/>
          <w:color w:val="000000"/>
          <w:sz w:val="22"/>
        </w:rPr>
        <w:t xml:space="preserve">means an agreement entered into voluntarily between the department and the debtor for the repayment of a debt. Agreements are made on Form 470-0495, Agreement to Pay a Debt, or on a notice of debt listed in </w:t>
      </w:r>
      <w:hyperlink r:id="rId9">
        <w:r>
          <w:rPr>
            <w:rStyle w:val="Hyperlink"/>
            <w:rFonts w:ascii="Times New Roman" w:hAnsi="Times New Roman"/>
            <w:b w:val="false"/>
            <w:i w:val="false"/>
            <w:color w:val="000000"/>
            <w:sz w:val="22"/>
          </w:rPr>
          <w:t>441—subrule 11.2(2)</w:t>
        </w:r>
      </w:hyperlink>
      <w:r>
        <w:rPr>
          <w:rFonts w:ascii="Times New Roman" w:hAnsi="Times New Roman"/>
          <w:b w:val="false"/>
          <w:i w:val="false"/>
          <w:color w:val="000000"/>
          <w:sz w:val="22"/>
        </w:rPr>
        <w:t>. The repayment agreement, whether Form 470-0495 or a notice of debt, tells the amount and program(s) overpaid and gives the debtor a choice of repayment methods. Failure to return the repayment agreement may result in further collection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“SNAP” </w:t>
      </w:r>
      <w:r>
        <w:rPr>
          <w:rFonts w:ascii="Times New Roman" w:hAnsi="Times New Roman"/>
          <w:b w:val="false"/>
          <w:i w:val="false"/>
          <w:color w:val="000000"/>
          <w:sz w:val="22"/>
        </w:rPr>
        <w:t xml:space="preserve">means the supplemental nutrition assistance program and refers to the benefits provided by the federal program administered through 7 CFR Parts 270 through 283 as set forth in rule </w:t>
      </w:r>
      <w:hyperlink r:id="rId10">
        <w:r>
          <w:rPr>
            <w:rStyle w:val="Hyperlink"/>
            <w:rFonts w:ascii="Times New Roman" w:hAnsi="Times New Roman"/>
            <w:b w:val="false"/>
            <w:i w:val="false"/>
            <w:color w:val="000000"/>
            <w:sz w:val="22"/>
          </w:rPr>
          <w:t>441—65.1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XIX divestiture” </w:t>
      </w:r>
      <w:r>
        <w:rPr>
          <w:rFonts w:ascii="Times New Roman" w:hAnsi="Times New Roman"/>
          <w:b w:val="false"/>
          <w:i w:val="false"/>
          <w:color w:val="000000"/>
          <w:sz w:val="22"/>
        </w:rPr>
        <w:t>means a debt against a person who receives transferred assets from a Medicaid applicant or recipient within five years prior to an application for medical assistance if the applicant is approved for medical assistance (Medicaid) or a transfer impacting the recovery or payment of a medical assistance (Medicaid)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w:t>
      </w:r>
      <w:r>
        <w:rPr>
          <w:rFonts w:ascii="Times New Roman" w:hAnsi="Times New Roman"/>
          <w:b/>
          <w:i w:val="false"/>
          <w:color w:val="000000"/>
          <w:sz w:val="22"/>
        </w:rPr>
        <w:t xml:space="preserve">(10A) </w:t>
      </w:r>
      <w:r>
        <w:rPr>
          <w:rFonts w:ascii="Times New Roman" w:hAnsi="Times New Roman"/>
          <w:b/>
          <w:i w:val="false"/>
          <w:color w:val="000000"/>
          <w:sz w:val="22"/>
        </w:rPr>
        <w:t xml:space="preserve">Recovery process. </w:t>
      </w:r>
      <w:r>
        <w:rPr>
          <w:rFonts w:ascii="Times New Roman" w:hAnsi="Times New Roman"/>
          <w:b w:val="false"/>
          <w:i w:val="false"/>
          <w:color w:val="000000"/>
          <w:sz w:val="22"/>
        </w:rPr>
        <w:t>The recovery process begins when data is successfully entered on the designated overpayment recovery system and a notice of debt is issued to the debtor. The data specifies which public assistance program(s) is owed a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481—90.3</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recovery unit maintains an account for each debt that has occurred for a debtor. The account is filed under the debtor’s name and includes information maintained pursuant to rule </w:t>
      </w:r>
      <w:hyperlink r:id="rId11">
        <w:r>
          <w:rPr>
            <w:rStyle w:val="Hyperlink"/>
            <w:rFonts w:ascii="Times New Roman" w:hAnsi="Times New Roman"/>
            <w:b w:val="false"/>
            <w:i w:val="false"/>
            <w:color w:val="000000"/>
            <w:sz w:val="22"/>
          </w:rPr>
          <w:t>441—11.2</w:t>
        </w:r>
      </w:hyperlink>
      <w:r>
        <w:rPr>
          <w:rFonts w:ascii="Times New Roman" w:hAnsi="Times New Roman"/>
          <w:b w:val="false"/>
          <w:i w:val="false"/>
          <w:color w:val="000000"/>
          <w:sz w:val="22"/>
        </w:rPr>
        <w:t>(217).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481—90.4</w:t>
      </w:r>
      <w:r>
        <w:rPr>
          <w:rFonts w:ascii="Times New Roman" w:hAnsi="Times New Roman"/>
          <w:b/>
          <w:i w:val="false"/>
          <w:color w:val="000000"/>
          <w:sz w:val="22"/>
        </w:rPr>
        <w:t xml:space="preserve">(10A) </w:t>
      </w:r>
      <w:r>
        <w:rPr>
          <w:rFonts w:ascii="Times New Roman" w:hAnsi="Times New Roman"/>
          <w:b/>
          <w:i w:val="false"/>
          <w:color w:val="000000"/>
          <w:sz w:val="22"/>
        </w:rPr>
        <w:t xml:space="preserve">Review. </w:t>
      </w:r>
      <w:r>
        <w:rPr>
          <w:rFonts w:ascii="Times New Roman" w:hAnsi="Times New Roman"/>
          <w:b w:val="false"/>
          <w:i w:val="false"/>
          <w:color w:val="000000"/>
          <w:sz w:val="22"/>
        </w:rPr>
        <w:t xml:space="preserve">Rescinded </w:t>
      </w:r>
      <w:r>
        <w:rPr>
          <w:rFonts w:ascii="Times New Roman" w:hAnsi="Times New Roman"/>
          <w:b/>
          <w:i w:val="false"/>
          <w:color w:val="000000"/>
          <w:sz w:val="22"/>
        </w:rPr>
        <w:t>ARC 6518C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9/7/22</w:t>
      </w:r>
      <w:r>
        <w:rPr>
          <w:rFonts w:ascii="Times New Roman" w:hAnsi="Times New Roman"/>
          <w:b w:val="false"/>
          <w:i w:val="false"/>
          <w:color w:val="000000"/>
          <w:sz w:val="22"/>
        </w:rPr>
        <w:t xml:space="preserve">, effective 10/12/22. </w:t>
      </w:r>
    </w:p>
    <w:p>
      <w:pPr>
        <w:spacing w:before="0" w:after="0"/>
        <w:ind w:left="120"/>
        <w:jc w:val="both"/>
      </w:pPr>
      <w:r>
        <w:rPr>
          <w:rFonts w:ascii="Times New Roman" w:hAnsi="Times New Roman"/>
          <w:b/>
          <w:i w:val="false"/>
          <w:color w:val="000000"/>
          <w:sz w:val="22"/>
        </w:rPr>
        <w:t>481—90.5</w:t>
      </w:r>
      <w:r>
        <w:rPr>
          <w:rFonts w:ascii="Times New Roman" w:hAnsi="Times New Roman"/>
          <w:b/>
          <w:i w:val="false"/>
          <w:color w:val="000000"/>
          <w:sz w:val="22"/>
        </w:rPr>
        <w:t xml:space="preserve">(10A) </w:t>
      </w:r>
      <w:r>
        <w:rPr>
          <w:rFonts w:ascii="Times New Roman" w:hAnsi="Times New Roman"/>
          <w:b/>
          <w:i w:val="false"/>
          <w:color w:val="000000"/>
          <w:sz w:val="22"/>
        </w:rPr>
        <w:t xml:space="preserve">Debt repayment. </w:t>
      </w:r>
      <w:r>
        <w:rPr>
          <w:rFonts w:ascii="Times New Roman" w:hAnsi="Times New Roman"/>
          <w:b w:val="false"/>
          <w:i w:val="false"/>
          <w:color w:val="000000"/>
          <w:sz w:val="22"/>
        </w:rPr>
        <w:t>A notice of debt or Form 470-0495, Agreement to Pay a Debt, is used to initiate payments of a debt. The minimum rate of payment is determined by each program unless set by a court order or otherwise negotiated by DHS. All recoveries are transmitted to the DHS cashier. Payments are made directly by cash, check, or money order or through an online payment portal by the debtor except as otherwise provided in this rule. The amount of allotment reduction for a FIP overpayment caused by an agency error shall be different from the amount of allotment reduction for a client error, as determined by DHS.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Active cases—PROMISE JOBS program. </w:t>
      </w:r>
      <w:r>
        <w:rPr>
          <w:rFonts w:ascii="Times New Roman" w:hAnsi="Times New Roman"/>
          <w:b w:val="false"/>
          <w:i w:val="false"/>
          <w:color w:val="000000"/>
          <w:sz w:val="22"/>
        </w:rPr>
        <w:t>For payment reduction for the PROMISE JOBS program, the debtor must provide written permission to effectuate a FIP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Active cases—FIP, RCA, SNAP. </w:t>
      </w:r>
      <w:r>
        <w:rPr>
          <w:rFonts w:ascii="Times New Roman" w:hAnsi="Times New Roman"/>
          <w:b w:val="false"/>
          <w:i w:val="false"/>
          <w:color w:val="000000"/>
          <w:sz w:val="22"/>
        </w:rPr>
        <w:t xml:space="preserve">Allotment reduction shall be used, except that cash payment pursuant to a repayment agreement may be used when the repayment amount exceeds the amount that may be collected by allotment reduction. For SNAP, debt repayment may also be made in accordance with subrule </w:t>
      </w:r>
      <w:hyperlink r:id="rId12">
        <w:r>
          <w:rPr>
            <w:rStyle w:val="Hyperlink"/>
            <w:rFonts w:ascii="Times New Roman" w:hAnsi="Times New Roman"/>
            <w:b w:val="false"/>
            <w:i w:val="false"/>
            <w:color w:val="000000"/>
            <w:sz w:val="22"/>
          </w:rPr>
          <w:t>90.5(3)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90.5(3)</w:t>
      </w:r>
      <w:r>
        <w:rPr>
          <w:rFonts w:ascii="Times New Roman" w:hAnsi="Times New Roman"/>
          <w:b w:val="false"/>
          <w:i w:val="false"/>
          <w:color w:val="000000"/>
          <w:sz w:val="22"/>
        </w:rPr>
        <w:t> </w:t>
      </w:r>
      <w:r>
        <w:rPr>
          <w:rFonts w:ascii="Times New Roman" w:hAnsi="Times New Roman"/>
          <w:b w:val="false"/>
          <w:i/>
          <w:color w:val="000000"/>
          <w:sz w:val="22"/>
        </w:rPr>
        <w:t xml:space="preserve">SNAP with electronic benefit balances. </w:t>
      </w:r>
      <w:r>
        <w:rPr>
          <w:rFonts w:ascii="Times New Roman" w:hAnsi="Times New Roman"/>
          <w:b w:val="false"/>
          <w:i w:val="false"/>
          <w:color w:val="000000"/>
          <w:sz w:val="22"/>
        </w:rPr>
        <w:t>SNAP payments may be made by returning electronic benefits to pay the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481—90.6</w:t>
      </w:r>
      <w:r>
        <w:rPr>
          <w:rFonts w:ascii="Times New Roman" w:hAnsi="Times New Roman"/>
          <w:b/>
          <w:i w:val="false"/>
          <w:color w:val="000000"/>
          <w:sz w:val="22"/>
        </w:rPr>
        <w:t xml:space="preserve">(10A) </w:t>
      </w:r>
      <w:r>
        <w:rPr>
          <w:rFonts w:ascii="Times New Roman" w:hAnsi="Times New Roman"/>
          <w:b/>
          <w:i w:val="false"/>
          <w:color w:val="000000"/>
          <w:sz w:val="22"/>
        </w:rPr>
        <w:t xml:space="preserve">Further collection action. </w:t>
      </w:r>
      <w:r>
        <w:rPr>
          <w:rFonts w:ascii="Times New Roman" w:hAnsi="Times New Roman"/>
          <w:b w:val="false"/>
          <w:i w:val="false"/>
          <w:color w:val="000000"/>
          <w:sz w:val="22"/>
        </w:rPr>
        <w:t xml:space="preserve">If complete repayment has not been received by the methods described in rule </w:t>
      </w:r>
      <w:hyperlink r:id="rId13">
        <w:r>
          <w:rPr>
            <w:rStyle w:val="Hyperlink"/>
            <w:rFonts w:ascii="Times New Roman" w:hAnsi="Times New Roman"/>
            <w:b w:val="false"/>
            <w:i w:val="false"/>
            <w:color w:val="000000"/>
            <w:sz w:val="22"/>
          </w:rPr>
          <w:t>481—90.5</w:t>
        </w:r>
      </w:hyperlink>
      <w:r>
        <w:rPr>
          <w:rFonts w:ascii="Times New Roman" w:hAnsi="Times New Roman"/>
          <w:b w:val="false"/>
          <w:i w:val="false"/>
          <w:color w:val="000000"/>
          <w:sz w:val="22"/>
        </w:rPr>
        <w:t xml:space="preserve">(10A), further collection action may be taken. This action includes, but is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For all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Debts of $5,000 or less, small claims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Debts of more than $5,000, referral to the attorney general for district court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income tax refund offset in accordance with </w:t>
      </w:r>
      <w:hyperlink r:id="rId14">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 xml:space="preserve"> and Iowa Code section </w:t>
      </w:r>
      <w:hyperlink r:id="rId15">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filing of a claim in a debtor’s estate or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Setoff of a state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Distress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For SNAP debts. </w:t>
      </w:r>
      <w:r>
        <w:rPr>
          <w:rFonts w:ascii="Times New Roman" w:hAnsi="Times New Roman"/>
          <w:b w:val="false"/>
          <w:i w:val="false"/>
          <w:color w:val="000000"/>
          <w:sz w:val="22"/>
        </w:rPr>
        <w:t xml:space="preserve">In addition to the above actions, federal offsets (taxes, federal payments) may be used for the collection of SNAP debts in accordance with rule </w:t>
      </w:r>
      <w:hyperlink r:id="rId16">
        <w:r>
          <w:rPr>
            <w:rStyle w:val="Hyperlink"/>
            <w:rFonts w:ascii="Times New Roman" w:hAnsi="Times New Roman"/>
            <w:b w:val="false"/>
            <w:i w:val="false"/>
            <w:color w:val="000000"/>
            <w:sz w:val="22"/>
          </w:rPr>
          <w:t>441—11.5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6518C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If a notice of debt or other notice of adverse action is received by the debtor and the debtor wishes to contest the debt, an appeal is submitted to the recovery unit or to DHS. If an appeal is submitted, the recovery process is suspended until conclusion of the appeal process outlined in </w:t>
      </w:r>
      <w:hyperlink r:id="rId17">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481—90.8</w:t>
      </w:r>
      <w:r>
        <w:rPr>
          <w:rFonts w:ascii="Times New Roman" w:hAnsi="Times New Roman"/>
          <w:b/>
          <w:i w:val="false"/>
          <w:color w:val="000000"/>
          <w:sz w:val="22"/>
        </w:rPr>
        <w:t xml:space="preserve">(10A) </w:t>
      </w:r>
      <w:r>
        <w:rPr>
          <w:rFonts w:ascii="Times New Roman" w:hAnsi="Times New Roman"/>
          <w:b/>
          <w:i w:val="false"/>
          <w:color w:val="000000"/>
          <w:sz w:val="22"/>
        </w:rPr>
        <w:t xml:space="preserve">Data processing systems matches. </w:t>
      </w:r>
      <w:r>
        <w:rPr>
          <w:rFonts w:ascii="Times New Roman" w:hAnsi="Times New Roman"/>
          <w:b w:val="false"/>
          <w:i w:val="false"/>
          <w:color w:val="000000"/>
          <w:sz w:val="22"/>
        </w:rPr>
        <w:t>The recovery unit compares information with other data processing systems to identify the location, resources, or income of a debtor. Part or all of a data processing system is used. The recovery unit uses, but is not limited to using, the data processing systems of the following entities: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Department of workforce development,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Department of revenue,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Department of administrative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Department of transportation (driver’s license and motor vehicle registration), and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Department of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481—90.9</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confidentiality of records is in accordance with </w:t>
      </w:r>
      <w:hyperlink r:id="rId19">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“Public Records and Fair Information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8656B</w:t>
      </w:r>
      <w:r>
        <w:rPr>
          <w:rFonts w:ascii="Times New Roman" w:hAnsi="Times New Roman"/>
          <w:b w:val="false"/>
          <w:i w:val="false"/>
          <w:color w:val="000000"/>
          <w:sz w:val="16"/>
        </w:rPr>
        <w:t>, IAB 4/7/10, effective 5/12/10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10A.108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9/18/87, Notice 7/29/87—published 10/7/87, effective 11/11/87]</w:t>
      </w:r>
    </w:p>
    <w:p>
      <w:pPr>
        <w:spacing w:before="0" w:after="0"/>
        <w:ind w:left="120"/>
        <w:jc w:val="center"/>
      </w:pPr>
      <w:r>
        <w:rPr>
          <w:rFonts w:ascii="Times New Roman" w:hAnsi="Times New Roman"/>
          <w:b w:val="false"/>
          <w:i w:val="false"/>
          <w:color w:val="000000"/>
          <w:sz w:val="21"/>
        </w:rPr>
        <w:t>[Filed 1/5/90, Notice 8/23/89—published 1/24/90, effective 2/28/90]</w:t>
      </w:r>
    </w:p>
    <w:p>
      <w:pPr>
        <w:spacing w:before="0" w:after="0"/>
        <w:ind w:left="120"/>
        <w:jc w:val="center"/>
      </w:pPr>
      <w:r>
        <w:rPr>
          <w:rFonts w:ascii="Times New Roman" w:hAnsi="Times New Roman"/>
          <w:b w:val="false"/>
          <w:i w:val="false"/>
          <w:color w:val="000000"/>
          <w:sz w:val="21"/>
        </w:rPr>
        <w:t>[Filed 9/27/90, Notice 5/30/90—published 10/17/90, effective 11/21/90]</w:t>
      </w:r>
    </w:p>
    <w:p>
      <w:pPr>
        <w:spacing w:before="0" w:after="0"/>
        <w:ind w:left="120"/>
        <w:jc w:val="center"/>
      </w:pPr>
      <w:r>
        <w:rPr>
          <w:rFonts w:ascii="Times New Roman" w:hAnsi="Times New Roman"/>
          <w:b w:val="false"/>
          <w:i w:val="false"/>
          <w:color w:val="000000"/>
          <w:sz w:val="21"/>
        </w:rPr>
        <w:t>[Filed 9/27/90, Notice 7/25/90—published 10/17/90, effective 11/21/90]</w:t>
      </w:r>
    </w:p>
    <w:p>
      <w:pPr>
        <w:spacing w:before="0" w:after="0"/>
        <w:ind w:left="120"/>
        <w:jc w:val="center"/>
      </w:pPr>
      <w:r>
        <w:rPr>
          <w:rFonts w:ascii="Times New Roman" w:hAnsi="Times New Roman"/>
          <w:b w:val="false"/>
          <w:i w:val="false"/>
          <w:color w:val="000000"/>
          <w:sz w:val="21"/>
        </w:rPr>
        <w:t>[Filed 1/3/92, Notice 11/27/91—published 1/22/92, effective 2/26/92]</w:t>
      </w:r>
    </w:p>
    <w:p>
      <w:pPr>
        <w:spacing w:before="0" w:after="0"/>
        <w:ind w:left="120"/>
        <w:jc w:val="center"/>
      </w:pPr>
      <w:r>
        <w:rPr>
          <w:rFonts w:ascii="Times New Roman" w:hAnsi="Times New Roman"/>
          <w:b w:val="false"/>
          <w:i w:val="false"/>
          <w:color w:val="000000"/>
          <w:sz w:val="21"/>
        </w:rPr>
        <w:t>[Filed emergency 7/15/93—published 8/4/93, effective 7/15/93]</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3/31/95, Notice 11/9/94—published 4/26/95, effective 5/31/95]</w:t>
      </w:r>
    </w:p>
    <w:p>
      <w:pPr>
        <w:spacing w:before="0" w:after="0"/>
        <w:ind w:left="120"/>
        <w:jc w:val="center"/>
      </w:pPr>
      <w:r>
        <w:rPr>
          <w:rFonts w:ascii="Times New Roman" w:hAnsi="Times New Roman"/>
          <w:b w:val="false"/>
          <w:i w:val="false"/>
          <w:color w:val="000000"/>
          <w:sz w:val="21"/>
        </w:rPr>
        <w:t>[Filed emergency 7/24/97—published 8/13/97, effective 7/24/97]</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7/2/04, Notice 5/26/04—published 7/21/04, effective 8/25/04]</w:t>
      </w:r>
    </w:p>
    <w:p>
      <w:pPr>
        <w:spacing w:before="0" w:after="0"/>
        <w:ind w:left="120"/>
        <w:jc w:val="center"/>
      </w:pPr>
      <w:r>
        <w:rPr>
          <w:rFonts w:ascii="Times New Roman" w:hAnsi="Times New Roman"/>
          <w:b w:val="false"/>
          <w:i w:val="false"/>
          <w:color w:val="000000"/>
          <w:sz w:val="21"/>
        </w:rPr>
        <w:t>[Filed ARC 8656B</w:t>
      </w:r>
      <w:r>
        <w:rPr>
          <w:rFonts w:ascii="Times New Roman" w:hAnsi="Times New Roman"/>
          <w:b w:val="false"/>
          <w:i w:val="false"/>
          <w:color w:val="000000"/>
          <w:sz w:val="21"/>
        </w:rPr>
        <w:t xml:space="preserve"> (Notice ARC 8484B,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6518C</w:t>
      </w:r>
      <w:r>
        <w:rPr>
          <w:rFonts w:ascii="Times New Roman" w:hAnsi="Times New Roman"/>
          <w:b w:val="false"/>
          <w:i w:val="false"/>
          <w:color w:val="000000"/>
          <w:sz w:val="21"/>
        </w:rPr>
        <w:t xml:space="preserve"> (Notice ARC 6412C, IAB 7/13/22)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pdf" Type="http://schemas.openxmlformats.org/officeDocument/2006/relationships/hyperlink" Id="rId5"/>
    <Relationship TargetMode="External" Target="https://www.legis.iowa.gov/docs/iac/chapter/441.40.pdf" Type="http://schemas.openxmlformats.org/officeDocument/2006/relationships/hyperlink" Id="rId6"/>
    <Relationship TargetMode="External" Target="https://www.legis.iowa.gov/docs/iac/chapter/441.11.pdf" Type="http://schemas.openxmlformats.org/officeDocument/2006/relationships/hyperlink" Id="rId7"/>
    <Relationship TargetMode="External" Target="https://www.legis.iowa.gov/docs/iac/chapter/441.60.pdf" Type="http://schemas.openxmlformats.org/officeDocument/2006/relationships/hyperlink" Id="rId8"/>
    <Relationship TargetMode="External" Target="https://www.legis.iowa.gov/docs/iac/rule/441.11.2.pdf" Type="http://schemas.openxmlformats.org/officeDocument/2006/relationships/hyperlink" Id="rId9"/>
    <Relationship TargetMode="External" Target="https://www.legis.iowa.gov/docs/iac/rule/441.65.1.pdf" Type="http://schemas.openxmlformats.org/officeDocument/2006/relationships/hyperlink" Id="rId10"/>
    <Relationship TargetMode="External" Target="https://www.legis.iowa.gov/docs/iac/rule/441.11.2.pdf" Type="http://schemas.openxmlformats.org/officeDocument/2006/relationships/hyperlink" Id="rId11"/>
    <Relationship TargetMode="External" Target="https://www.legis.iowa.gov/docs/iac/rule/481.90.5.pdf" Type="http://schemas.openxmlformats.org/officeDocument/2006/relationships/hyperlink" Id="rId12"/>
    <Relationship TargetMode="External" Target="https://www.legis.iowa.gov/docs/iac/rule/481.90.5.pdf" Type="http://schemas.openxmlformats.org/officeDocument/2006/relationships/hyperlink" Id="rId13"/>
    <Relationship TargetMode="External" Target="https://www.legis.iowa.gov/docs/iac/chapter/441.11.pdf" Type="http://schemas.openxmlformats.org/officeDocument/2006/relationships/hyperlink" Id="rId14"/>
    <Relationship TargetMode="External" Target="https://www.legis.iowa.gov/docs/ico/chapter/8A.504.pdf" Type="http://schemas.openxmlformats.org/officeDocument/2006/relationships/hyperlink" Id="rId15"/>
    <Relationship TargetMode="External" Target="https://www.legis.iowa.gov/docs/iac/rule/441.11.5.pdf" Type="http://schemas.openxmlformats.org/officeDocument/2006/relationships/hyperlink" Id="rId16"/>
    <Relationship TargetMode="External" Target="https://www.legis.iowa.gov/docs/iac/chapter/481.9.pdf" Type="http://schemas.openxmlformats.org/officeDocument/2006/relationships/hyperlink" Id="rId17"/>
    <Relationship TargetMode="External" Target="https://www.legis.iowa.gov/docs/iac/chapter/441.7.pdf" Type="http://schemas.openxmlformats.org/officeDocument/2006/relationships/hyperlink" Id="rId18"/>
    <Relationship TargetMode="External" Target="https://www.legis.iowa.gov/docs/iac/chapter/441.9.pdf" Type="http://schemas.openxmlformats.org/officeDocument/2006/relationships/hyperlink" Id="rId19"/>
    <Relationship TargetMode="External" Target="https://www.legis.iowa.gov/docs/ico/chapter/10A.108.pdf" Type="http://schemas.openxmlformats.org/officeDocument/2006/relationships/hyperlink" Id="rId20"/>
    <Relationship TargetMode="External" Target="https://www.legis.iowa.gov/docs/ico/chapter/10A.40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