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896</w:t>
      </w:r>
    </w:p>
    <w:p>
      <w:pPr>
        <w:spacing w:before="0" w:after="0"/>
        <w:ind w:left="120"/>
        <w:jc w:val="center"/>
      </w:pPr>
      <w:r>
        <w:rPr>
          <w:rFonts w:ascii="Times New Roman" w:hAnsi="Times New Roman"/>
          <w:b w:val="false"/>
          <w:i w:val="false"/>
          <w:color w:val="000000"/>
          <w:sz w:val="21"/>
        </w:rPr>
        <w:t>CONTINUING EDUCATION FOR SOCIAL WORKERS</w:t>
      </w:r>
    </w:p>
    <w:p>
      <w:pPr>
        <w:spacing w:before="0" w:after="0"/>
        <w:ind w:left="120"/>
        <w:jc w:val="center"/>
      </w:pPr>
      <w:r>
        <w:rPr>
          <w:rFonts w:ascii="Times New Roman" w:hAnsi="Times New Roman"/>
          <w:b w:val="false"/>
          <w:i w:val="false"/>
          <w:color w:val="000000"/>
          <w:sz w:val="14"/>
        </w:rPr>
        <w:t>[Prior to 9/18/24, see Professional Licensure Division[645] Ch 281]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7/17/29</w:t>
      </w:r>
    </w:p>
    <w:p>
      <w:pPr>
        <w:spacing w:before="0" w:after="0"/>
        <w:ind w:left="120"/>
        <w:jc w:val="both"/>
      </w:pPr>
      <w:r>
        <w:rPr>
          <w:rFonts w:ascii="Times New Roman" w:hAnsi="Times New Roman"/>
          <w:b/>
          <w:i w:val="false"/>
          <w:color w:val="000000"/>
          <w:sz w:val="22"/>
        </w:rPr>
        <w:t>481—896.1</w:t>
      </w:r>
      <w:r>
        <w:rPr>
          <w:rFonts w:ascii="Times New Roman" w:hAnsi="Times New Roman"/>
          <w:b/>
          <w:i w:val="false"/>
          <w:color w:val="000000"/>
          <w:sz w:val="22"/>
        </w:rPr>
        <w:t xml:space="preserve">(154C)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social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acquired during licensure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social worker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481—896.2</w:t>
      </w:r>
      <w:r>
        <w:rPr>
          <w:rFonts w:ascii="Times New Roman" w:hAnsi="Times New Roman"/>
          <w:b/>
          <w:i w:val="false"/>
          <w:color w:val="000000"/>
          <w:sz w:val="22"/>
        </w:rPr>
        <w:t xml:space="preserve">(154C)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896.2(1)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extends for a two-year period beginning on January 1 of each odd-numbered year and ending on December 31 of the next even-numbered year. Each biennium, each person who is licensed to practice as a licensee in this state will be required to complete a minimum of 27 hours of continuing education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896.2(2)</w:t>
      </w:r>
      <w:r>
        <w:rPr>
          <w:rFonts w:ascii="Times New Roman" w:hAnsi="Times New Roman"/>
          <w:b w:val="false"/>
          <w:i w:val="false"/>
          <w:color w:val="000000"/>
          <w:sz w:val="22"/>
        </w:rPr>
        <w:t> </w:t>
      </w:r>
      <w:r>
        <w:rPr>
          <w:rFonts w:ascii="Times New Roman" w:hAnsi="Times New Roman"/>
          <w:b w:val="false"/>
          <w:i w:val="false"/>
          <w:color w:val="000000"/>
          <w:sz w:val="22"/>
        </w:rPr>
        <w:t>Requirements of new licensees. Those persons licensed for the first time during the license renewal period will not be required to complete continuing education as a prerequisite for the first renewal of their licenses. Continuing education hours acquired anytime from the initial licensing until the second renewal may be used. The new licensee will be required to complete a minimum of 27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896.2(3)</w:t>
      </w:r>
      <w:r>
        <w:rPr>
          <w:rFonts w:ascii="Times New Roman" w:hAnsi="Times New Roman"/>
          <w:b w:val="false"/>
          <w:i w:val="false"/>
          <w:color w:val="000000"/>
          <w:sz w:val="22"/>
        </w:rPr>
        <w:t> </w:t>
      </w:r>
      <w:r>
        <w:rPr>
          <w:rFonts w:ascii="Times New Roman" w:hAnsi="Times New Roman"/>
          <w:b w:val="false"/>
          <w:i w:val="false"/>
          <w:color w:val="000000"/>
          <w:sz w:val="22"/>
        </w:rPr>
        <w:t>Requirement of supervisors. For licensure at the independent level, persons serving in a supervisory role must complete three hours of continuing education in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896.2(4)</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 These hours must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896.2(5)</w:t>
      </w:r>
      <w:r>
        <w:rPr>
          <w:rFonts w:ascii="Times New Roman" w:hAnsi="Times New Roman"/>
          <w:b w:val="false"/>
          <w:i w:val="false"/>
          <w:color w:val="000000"/>
          <w:sz w:val="22"/>
        </w:rPr>
        <w:t> </w:t>
      </w:r>
      <w:r>
        <w:rPr>
          <w:rFonts w:ascii="Times New Roman" w:hAnsi="Times New Roman"/>
          <w:b w:val="false"/>
          <w:i w:val="false"/>
          <w:color w:val="000000"/>
          <w:sz w:val="22"/>
        </w:rPr>
        <w:t>No hours of continuing education will be carried over into the next biennium except as stated for the second renewal. A licensee whose license was reactivated during the current renewal compliance period may use continuing education earned during the compliance period for the first renewal following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896.2(6)</w:t>
      </w:r>
      <w:r>
        <w:rPr>
          <w:rFonts w:ascii="Times New Roman" w:hAnsi="Times New Roman"/>
          <w:b w:val="false"/>
          <w:i w:val="false"/>
          <w:color w:val="000000"/>
          <w:sz w:val="22"/>
        </w:rPr>
        <w:t> </w:t>
      </w:r>
      <w:r>
        <w:rPr>
          <w:rFonts w:ascii="Times New Roman" w:hAnsi="Times New Roman"/>
          <w:b w:val="false"/>
          <w:i w:val="false"/>
          <w:color w:val="000000"/>
          <w:sz w:val="22"/>
        </w:rPr>
        <w:t>The licensee will maintain a personal file with all documentation of the continuing education credits obtained.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481—896.3</w:t>
      </w:r>
      <w:r>
        <w:rPr>
          <w:rFonts w:ascii="Times New Roman" w:hAnsi="Times New Roman"/>
          <w:b/>
          <w:i w:val="false"/>
          <w:color w:val="000000"/>
          <w:sz w:val="22"/>
        </w:rPr>
        <w:t xml:space="preserve">(154C,272C)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896.3(1)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Contains one of the following content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Human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Theories and concepts of the development of human behavior in the life cycle of individuals, families and the social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Community and organizational theories;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Normal, abnormal and addictive behaviors;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Abuse and neglect;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Effects of culture, race, ethnicity, sexual orientation and gender.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Assessment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Psychosocial assessment/interview;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Utilization of the current edition of the Diagnostic and Statistical Manual of Mental Disorders (DSM-5-TR) of the American Psychiatric Association, published March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Theoretical approaches and models of practice—individual, couple, and family therapy and group psychotherapy;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Establishing treatment goals and monitoring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Techniques of social work practice;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Interdisciplinary consultation and collaboration.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Social work research, program evaluation, or practice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Management, administration, and social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Organizational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Advocacy and prevention in social work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Management of social work staff and other personnel;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Management of social work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Theories and concepts of social work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Social work ethics as they pertain to the rules of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area, as demonstrated by the licensee, that directly relates to the licensee’s individual practice as a social worker. The licensee will submit for consideration by the board a specific explanation of how the program relates to the licensee’s individual practice setting as a social worker.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896.3(2)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r>
        <w:rPr>
          <w:rFonts w:ascii="Times New Roman" w:hAnsi="Times New Roman"/>
          <w:b w:val="false"/>
          <w:i w:val="false"/>
          <w:color w:val="000000"/>
          <w:sz w:val="22"/>
        </w:rPr>
        <w:t>Continuing education hours of credit can be obtained by completing: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minimum of three hours per biennium in social work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Academic coursework that meets the criteria set forth in the rules. Continuing education equivalents are as follows:</w:t>
      </w:r>
    </w:p>
    <w:p>
      <w:pPr>
        <w:spacing w:before="0" w:after="0"/>
        <w:ind w:left="120"/>
        <w:jc w:val="both"/>
      </w:pPr>
      <w:r>
        <w:rPr>
          <w:rFonts w:ascii="Times New Roman" w:hAnsi="Times New Roman"/>
          <w:b w:val="false"/>
          <w:i w:val="false"/>
          <w:color w:val="000000"/>
          <w:sz w:val="22"/>
        </w:rPr>
        <w:t>1 academic semester hour = 15 continuing education hours</w:t>
      </w:r>
    </w:p>
    <w:p>
      <w:pPr>
        <w:spacing w:before="0" w:after="0"/>
        <w:ind w:left="120"/>
        <w:jc w:val="both"/>
      </w:pPr>
      <w:r>
        <w:rPr>
          <w:rFonts w:ascii="Times New Roman" w:hAnsi="Times New Roman"/>
          <w:b w:val="false"/>
          <w:i w:val="false"/>
          <w:color w:val="000000"/>
          <w:sz w:val="22"/>
        </w:rPr>
        <w:t>1 academic quarter hour = 10 continuing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Programs designed for the purpose of enhancing the licensee’s administrative, management or other clinical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Activities/programs that are sponsored or approved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ASWB Approved Continuing Education (ACE)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National Association of Social Workers (NASW) Continuing Education Unit (CEU) Approval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 bono or volunteer work that meets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licensee may earn a maximum of 3 of the required 27 hours of continuing education for credit during one biennium by performing pro bono or volunteer services for indigent, underserved populations or in areas of critical need within the state of Iowa. Such services must be approved in advance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licensee will apply for prior approval of pro bono or volunteer services by sending a letter to the board indicating that the following requirements will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site for these services is identified including information about the clients, the services that will be offered, how they will be performed and the learning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contract will be established between licensee and client(s), and each party will be aware that the services are being provided without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services will be subject to all the legal responsibilities and obligations related to the licensee’s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will keep records and files of these client services pursuant to the rules of </w:t>
      </w:r>
      <w:hyperlink r:id="rId5">
        <w:r>
          <w:rPr>
            <w:rStyle w:val="Hyperlink"/>
            <w:rFonts w:ascii="Times New Roman" w:hAnsi="Times New Roman"/>
            <w:b w:val="false"/>
            <w:i w:val="false"/>
            <w:color w:val="000000"/>
            <w:sz w:val="22"/>
          </w:rPr>
          <w:t>481—Chapter 897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representative from the site for pro bono or volunteer services must provide a letter stating that these services are to be performed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Upon review, the licensee will receive a letter from the board indicating prior approval for these pro bono or volunteer services that will be done for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Following completion of such services: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licensee must provide the board a letter stating that the services were performed as planned.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representative from the site must provide a letter indicating such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Instruction of a course at an approved college, university or graduate school of social work. A licensee may receive credit on a one-time basis, not to exceed three hours of continuing education credit per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Instruction, presentation, or moderation of continuing education programs. A licensee may receive credit on a one-time basis, not to exceed three hours of continuing education credit per biennium, for programs at which the licensee is actually in attendance for the complete program, provided the licensee receives a certificate of attendance in compliance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Authorship of professional papers, publications or books and preparation of presentations and exhibits. A presentation must be made before a professional audience. Presentations may receive credit on a one-time basis for the article, publication, book or preparation of a presentation or exhibit, not to exceed three hours of continuing education credit per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Supervision of a social work practicum student(s) from an accredited social work education program. A licensee may receive one credit for every 100 hours supervised, not to exceed 6 hours of continuing education credit per biennium.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12/22/00, Notice 9/6/00—published 1/10/01, effective 2/14/01]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8/30/01, Notice 6/13/01—published 9/19/01, effective 10/24/01]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8/14/02, Notice 6/12/02—published 9/4/02, effective 10/9/02]</w:t>
      </w:r>
    </w:p>
    <w:p>
      <w:pPr>
        <w:spacing w:before="0" w:after="0"/>
        <w:ind w:left="120"/>
        <w:jc w:val="center"/>
      </w:pPr>
      <w:r>
        <w:rPr>
          <w:rFonts w:ascii="Times New Roman" w:hAnsi="Times New Roman"/>
          <w:b w:val="false"/>
          <w:i w:val="false"/>
          <w:color w:val="000000"/>
          <w:sz w:val="21"/>
        </w:rPr>
        <w:t>[Filed 8/12/04, Notice 6/9/04—published 9/1/04, effective 10/6/04]</w:t>
      </w:r>
    </w:p>
    <w:p>
      <w:pPr>
        <w:spacing w:before="0" w:after="0"/>
        <w:ind w:left="120"/>
        <w:jc w:val="center"/>
      </w:pPr>
      <w:r>
        <w:rPr>
          <w:rFonts w:ascii="Times New Roman" w:hAnsi="Times New Roman"/>
          <w:b w:val="false"/>
          <w:i w:val="false"/>
          <w:color w:val="000000"/>
          <w:sz w:val="21"/>
        </w:rPr>
        <w:t>[Filed 8/9/05, Notice 6/8/05—published 8/31/05, effective 10/5/05]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5/10/06, Notice 3/15/06—published 6/7/06, effective 7/12/06]</w:t>
      </w:r>
    </w:p>
    <w:p>
      <w:pPr>
        <w:spacing w:before="0" w:after="0"/>
        <w:ind w:left="120"/>
        <w:jc w:val="center"/>
      </w:pPr>
      <w:r>
        <w:rPr>
          <w:rFonts w:ascii="Times New Roman" w:hAnsi="Times New Roman"/>
          <w:b w:val="false"/>
          <w:i w:val="false"/>
          <w:color w:val="000000"/>
          <w:sz w:val="21"/>
        </w:rPr>
        <w:t>[Filed ARC 8371B</w:t>
      </w:r>
      <w:r>
        <w:rPr>
          <w:rFonts w:ascii="Times New Roman" w:hAnsi="Times New Roman"/>
          <w:b w:val="false"/>
          <w:i w:val="false"/>
          <w:color w:val="000000"/>
          <w:sz w:val="21"/>
        </w:rPr>
        <w:t xml:space="preserve"> (Notice ARC 8101B, IAB 9/9/09)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8587B</w:t>
      </w:r>
      <w:r>
        <w:rPr>
          <w:rFonts w:ascii="Times New Roman" w:hAnsi="Times New Roman"/>
          <w:b w:val="false"/>
          <w:i w:val="false"/>
          <w:color w:val="000000"/>
          <w:sz w:val="21"/>
        </w:rPr>
        <w:t xml:space="preserve"> (Notice ARC 8368B, IAB 12/16/09)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0093C</w:t>
      </w:r>
      <w:r>
        <w:rPr>
          <w:rFonts w:ascii="Times New Roman" w:hAnsi="Times New Roman"/>
          <w:b w:val="false"/>
          <w:i w:val="false"/>
          <w:color w:val="000000"/>
          <w:sz w:val="21"/>
        </w:rPr>
        <w:t xml:space="preserve"> (Notice ARC 9946B, IAB 12/28/11)</w:t>
      </w:r>
      <w:r>
        <w:rPr>
          <w:rFonts w:ascii="Times New Roman" w:hAnsi="Times New Roman"/>
          <w:b w:val="false"/>
          <w:i w:val="false"/>
          <w:color w:val="000000"/>
          <w:sz w:val="21"/>
        </w:rPr>
        <w:t>, IAB 4/18/12, effective 5/23/12]</w:t>
      </w:r>
    </w:p>
    <w:p>
      <w:pPr>
        <w:spacing w:before="0" w:after="0"/>
        <w:ind w:left="120"/>
        <w:jc w:val="center"/>
      </w:pPr>
      <w:r>
        <w:rPr>
          <w:rFonts w:ascii="Times New Roman" w:hAnsi="Times New Roman"/>
          <w:b w:val="false"/>
          <w:i w:val="false"/>
          <w:color w:val="000000"/>
          <w:sz w:val="21"/>
        </w:rPr>
        <w:t>[Filed ARC 3744C</w:t>
      </w:r>
      <w:r>
        <w:rPr>
          <w:rFonts w:ascii="Times New Roman" w:hAnsi="Times New Roman"/>
          <w:b w:val="false"/>
          <w:i w:val="false"/>
          <w:color w:val="000000"/>
          <w:sz w:val="21"/>
        </w:rPr>
        <w:t xml:space="preserve"> (Notice ARC 3433C, IAB 11/8/17)</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4981C</w:t>
      </w:r>
      <w:r>
        <w:rPr>
          <w:rFonts w:ascii="Times New Roman" w:hAnsi="Times New Roman"/>
          <w:b w:val="false"/>
          <w:i w:val="false"/>
          <w:color w:val="000000"/>
          <w:sz w:val="21"/>
        </w:rPr>
        <w:t xml:space="preserve"> (Notice ARC 4727C, IAB 10/23/19)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8058C</w:t>
      </w:r>
      <w:r>
        <w:rPr>
          <w:rFonts w:ascii="Times New Roman" w:hAnsi="Times New Roman"/>
          <w:b w:val="false"/>
          <w:i w:val="false"/>
          <w:color w:val="000000"/>
          <w:sz w:val="21"/>
        </w:rPr>
        <w:t xml:space="preserve"> (Notice ARC 7640C, IAB 2/21/24)</w:t>
      </w:r>
      <w:r>
        <w:rPr>
          <w:rFonts w:ascii="Times New Roman" w:hAnsi="Times New Roman"/>
          <w:b w:val="false"/>
          <w:i w:val="false"/>
          <w:color w:val="000000"/>
          <w:sz w:val="21"/>
        </w:rPr>
        <w:t>, IAB 6/12/24, effective 7/17/24]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281.3(1) delayed 70 days by the Administrative Rules Review Committee at its meeting held February 9, 2001.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897.pdf" Type="http://schemas.openxmlformats.org/officeDocument/2006/relationships/hyperlink" Id="rId5"/>
    <Relationship TargetMode="External" Target="https://www.legis.iowa.gov/docs/ico/chapter/272C.2.pdf" Type="http://schemas.openxmlformats.org/officeDocument/2006/relationships/hyperlink" Id="rId6"/>
    <Relationship TargetMode="External" Target="https://www.legis.iowa.gov/docs/ico/chapter/154C.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