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893</w:t>
      </w:r>
    </w:p>
    <w:p>
      <w:pPr>
        <w:spacing w:before="0" w:after="0"/>
        <w:ind w:left="120"/>
        <w:jc w:val="center"/>
      </w:pPr>
      <w:r>
        <w:rPr>
          <w:rFonts w:ascii="Times New Roman" w:hAnsi="Times New Roman"/>
          <w:b w:val="false"/>
          <w:i w:val="false"/>
          <w:color w:val="000000"/>
          <w:sz w:val="21"/>
        </w:rPr>
        <w:t>DISCIPLINE FOR MARITAL AND FAMILY THERAPISTS,</w:t>
      </w:r>
      <w:r>
        <w:br/>
      </w:r>
      <w:r>
        <w:rPr>
          <w:rFonts w:ascii="Times New Roman" w:hAnsi="Times New Roman"/>
          <w:b w:val="false"/>
          <w:i w:val="false"/>
          <w:color w:val="000000"/>
          <w:sz w:val="21"/>
        </w:rPr>
        <w:t xml:space="preserve"> MENTAL HEALTH COUNSELORS, BEHAVIOR ANALYSTS, </w:t>
      </w:r>
      <w:r>
        <w:br/>
      </w:r>
      <w:r>
        <w:rPr>
          <w:rFonts w:ascii="Times New Roman" w:hAnsi="Times New Roman"/>
          <w:b w:val="false"/>
          <w:i w:val="false"/>
          <w:color w:val="000000"/>
          <w:sz w:val="21"/>
        </w:rPr>
        <w:t>AND ASSISTANT BEHAVIOR ANALYSTS</w:t>
      </w:r>
    </w:p>
    <w:p>
      <w:pPr>
        <w:spacing w:before="0" w:after="0"/>
        <w:ind w:left="120"/>
        <w:jc w:val="center"/>
      </w:pPr>
      <w:r>
        <w:rPr>
          <w:rFonts w:ascii="Times New Roman" w:hAnsi="Times New Roman"/>
          <w:b w:val="false"/>
          <w:i w:val="false"/>
          <w:color w:val="000000"/>
          <w:sz w:val="12"/>
        </w:rPr>
        <w:t>[Prior to 1/30/02, see 645—Chapter 31]</w:t>
      </w:r>
    </w:p>
    <w:p>
      <w:pPr>
        <w:spacing w:before="0" w:after="0"/>
        <w:ind w:left="120"/>
        <w:jc w:val="center"/>
      </w:pPr>
      <w:r>
        <w:rPr>
          <w:rFonts w:ascii="Times New Roman" w:hAnsi="Times New Roman"/>
          <w:b w:val="false"/>
          <w:i w:val="false"/>
          <w:color w:val="000000"/>
          <w:sz w:val="14"/>
        </w:rPr>
        <w:t>[Prior to 9/18/24, see Professional Licensure Division[645] Ch 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481—893.1</w:t>
      </w:r>
      <w:r>
        <w:rPr>
          <w:rFonts w:ascii="Times New Roman" w:hAnsi="Times New Roman"/>
          <w:b/>
          <w:i w:val="false"/>
          <w:color w:val="000000"/>
          <w:sz w:val="22"/>
        </w:rPr>
        <w:t xml:space="preserve">(154D,272C)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5">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893.1(1)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national association’s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Marital and family therapists. </w:t>
      </w:r>
      <w:r>
        <w:rPr>
          <w:rFonts w:ascii="Times New Roman" w:hAnsi="Times New Roman"/>
          <w:b w:val="false"/>
          <w:i w:val="false"/>
          <w:color w:val="000000"/>
          <w:sz w:val="22"/>
        </w:rPr>
        <w:t>Failure to comply with the current American Association for Marriage and Family Therapy (AAMFT) Code of Ethics revised January 2015, which is hereby adopted by reference. Copies of the Code of Ethics may be obtained from the AAMFT’s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counselors. </w:t>
      </w:r>
      <w:r>
        <w:rPr>
          <w:rFonts w:ascii="Times New Roman" w:hAnsi="Times New Roman"/>
          <w:b w:val="false"/>
          <w:i w:val="false"/>
          <w:color w:val="000000"/>
          <w:sz w:val="22"/>
        </w:rPr>
        <w:t>Failure to comply with the current Code of Ethics of the American Counseling Association (ACA) published 2014, which is hereby adopted by reference. Copies of the Code of Ethics may be obtained from the ACA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analysts and assistant behavior analysts. </w:t>
      </w:r>
      <w:r>
        <w:rPr>
          <w:rFonts w:ascii="Times New Roman" w:hAnsi="Times New Roman"/>
          <w:b w:val="false"/>
          <w:i w:val="false"/>
          <w:color w:val="000000"/>
          <w:sz w:val="22"/>
        </w:rPr>
        <w:t>Failure to comply with the current Behavior Analyst Certification Board (BACB) Professional and Ethical Compliance Code for Behavior Analysts published January 2023, which is hereby adopted by reference. Copies of the Professional and Ethical Compliance Code may be obtained from the BACB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893.1(2)</w:t>
      </w:r>
      <w:r>
        <w:rPr>
          <w:rFonts w:ascii="Times New Roman" w:hAnsi="Times New Roman"/>
          <w:b w:val="false"/>
          <w:i w:val="false"/>
          <w:color w:val="000000"/>
          <w:sz w:val="22"/>
        </w:rPr>
        <w:t> </w:t>
      </w:r>
      <w:r>
        <w:rPr>
          <w:rFonts w:ascii="Times New Roman" w:hAnsi="Times New Roman"/>
          <w:b w:val="false"/>
          <w:i w:val="false"/>
          <w:color w:val="000000"/>
          <w:sz w:val="22"/>
        </w:rPr>
        <w:t>Sexual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clients. A licensee shall not engage in sexual activities or sexual contact with a client, regardless of whether such contact is consensual or nonconsensual.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clients. A licensee shall not engage in sexual activities or sexual contact with a former client within the five years following termination of the client relationship. A licensee shall not engage in sexual activities or sexual contact with a former client, regardless of the length of time elapsed since termination of the client relationship, if the client has a history of physical, emotional, or sexual abuse or if the client has ever been diagnosed with any form of psychosis or personality disorder or if the client is likely to remain in need of therapy due to the intensity or chronicity of a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engage in sexual activities or sexual contact with a client’s or former client’s spouse or significant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engage in sexual activities or sexual contact with a client’s or former client’s relative within the second degree of consanguinity (client’s parent, grandparent, child, grandchild, or sibling)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shall not provide clinical services to an individual with whom the licensee has had prior sexual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893.1(3)</w:t>
      </w:r>
      <w:r>
        <w:rPr>
          <w:rFonts w:ascii="Times New Roman" w:hAnsi="Times New Roman"/>
          <w:b w:val="false"/>
          <w:i w:val="false"/>
          <w:color w:val="000000"/>
          <w:sz w:val="22"/>
        </w:rPr>
        <w:t> </w:t>
      </w:r>
      <w:r>
        <w:rPr>
          <w:rFonts w:ascii="Times New Roman" w:hAnsi="Times New Roman"/>
          <w:b w:val="false"/>
          <w:i w:val="false"/>
          <w:color w:val="000000"/>
          <w:sz w:val="22"/>
        </w:rPr>
        <w:t>Physical contact. A licensee shall not engage in physical contact with a client when there is a possibility of psychological harm to the client as a result of the contact. A licensee who engages in appropriate physical contact with a client is responsible for setting clear, appropriate, and culturally and age-sensitive boundaries which govern such contact.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7919C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9/24/93—published 10/13/93, effective 9/24/93]</w:t>
      </w:r>
    </w:p>
    <w:p>
      <w:pPr>
        <w:spacing w:before="0" w:after="0"/>
        <w:ind w:left="120"/>
        <w:jc w:val="center"/>
      </w:pPr>
      <w:r>
        <w:rPr>
          <w:rFonts w:ascii="Times New Roman" w:hAnsi="Times New Roman"/>
          <w:b w:val="false"/>
          <w:i w:val="false"/>
          <w:color w:val="000000"/>
          <w:sz w:val="21"/>
        </w:rPr>
        <w:t>[Filed 2/11/94, Notice 10/13/93—published 3/2/94, effective 4/7/94]</w:t>
      </w:r>
    </w:p>
    <w:p>
      <w:pPr>
        <w:spacing w:before="0" w:after="0"/>
        <w:ind w:left="120"/>
        <w:jc w:val="center"/>
      </w:pPr>
      <w:r>
        <w:rPr>
          <w:rFonts w:ascii="Times New Roman" w:hAnsi="Times New Roman"/>
          <w:b w:val="false"/>
          <w:i w:val="false"/>
          <w:color w:val="000000"/>
          <w:sz w:val="21"/>
        </w:rPr>
        <w:t>[Filed 11/17/94, Notice 9/14/94—published 12/7/94, effective 1/11/95]</w:t>
      </w:r>
    </w:p>
    <w:p>
      <w:pPr>
        <w:spacing w:before="0" w:after="0"/>
        <w:ind w:left="120"/>
        <w:jc w:val="center"/>
      </w:pPr>
      <w:r>
        <w:rPr>
          <w:rFonts w:ascii="Times New Roman" w:hAnsi="Times New Roman"/>
          <w:b w:val="false"/>
          <w:i w:val="false"/>
          <w:color w:val="000000"/>
          <w:sz w:val="21"/>
        </w:rPr>
        <w:t>[Filed 8/21/98, Notice 7/15/98—published 9/9/98, effective 10/14/98]</w:t>
      </w:r>
    </w:p>
    <w:p>
      <w:pPr>
        <w:spacing w:before="0" w:after="0"/>
        <w:ind w:left="120"/>
        <w:jc w:val="center"/>
      </w:pPr>
      <w:r>
        <w:rPr>
          <w:rFonts w:ascii="Times New Roman" w:hAnsi="Times New Roman"/>
          <w:b w:val="false"/>
          <w:i w:val="false"/>
          <w:color w:val="000000"/>
          <w:sz w:val="21"/>
        </w:rPr>
        <w:t>[Filed 4/2/99, Notice 2/10/99—published 4/21/99, effective 5/26/99]</w:t>
      </w:r>
    </w:p>
    <w:p>
      <w:pPr>
        <w:spacing w:before="0" w:after="0"/>
        <w:ind w:left="120"/>
        <w:jc w:val="center"/>
      </w:pPr>
      <w:r>
        <w:rPr>
          <w:rFonts w:ascii="Times New Roman" w:hAnsi="Times New Roman"/>
          <w:b w:val="false"/>
          <w:i w:val="false"/>
          <w:color w:val="000000"/>
          <w:sz w:val="21"/>
        </w:rPr>
        <w:t>[Filed 5/28/99, Notice 4/7/99—published 6/16/99, effective 7/21/99]</w:t>
      </w:r>
    </w:p>
    <w:p>
      <w:pPr>
        <w:spacing w:before="0" w:after="0"/>
        <w:ind w:left="120"/>
        <w:jc w:val="center"/>
      </w:pPr>
      <w:r>
        <w:rPr>
          <w:rFonts w:ascii="Times New Roman" w:hAnsi="Times New Roman"/>
          <w:b w:val="false"/>
          <w:i w:val="false"/>
          <w:color w:val="000000"/>
          <w:sz w:val="21"/>
        </w:rPr>
        <w:t>[Filed 2/1/01, Notice 10/18/00—published 2/21/01, effective 3/28/01]</w:t>
      </w:r>
    </w:p>
    <w:p>
      <w:pPr>
        <w:spacing w:before="0" w:after="0"/>
        <w:ind w:left="120"/>
        <w:jc w:val="center"/>
      </w:pPr>
      <w:r>
        <w:rPr>
          <w:rFonts w:ascii="Times New Roman" w:hAnsi="Times New Roman"/>
          <w:b w:val="false"/>
          <w:i w:val="false"/>
          <w:color w:val="000000"/>
          <w:sz w:val="21"/>
        </w:rPr>
        <w:t>[Filed 12/6/01, Notice 10/3/01—published 12/26/01, effective 1/30/02]</w:t>
      </w:r>
    </w:p>
    <w:p>
      <w:pPr>
        <w:spacing w:before="0" w:after="0"/>
        <w:ind w:left="120"/>
        <w:jc w:val="center"/>
      </w:pPr>
      <w:r>
        <w:rPr>
          <w:rFonts w:ascii="Times New Roman" w:hAnsi="Times New Roman"/>
          <w:b w:val="false"/>
          <w:i w:val="false"/>
          <w:color w:val="000000"/>
          <w:sz w:val="21"/>
        </w:rPr>
        <w:t>[Filed 12/12/03, Notice 10/15/03—published 1/7/04, effective 2/11/04]</w:t>
      </w:r>
    </w:p>
    <w:p>
      <w:pPr>
        <w:spacing w:before="0" w:after="0"/>
        <w:ind w:left="120"/>
        <w:jc w:val="center"/>
      </w:pPr>
      <w:r>
        <w:rPr>
          <w:rFonts w:ascii="Times New Roman" w:hAnsi="Times New Roman"/>
          <w:b w:val="false"/>
          <w:i w:val="false"/>
          <w:color w:val="000000"/>
          <w:sz w:val="21"/>
        </w:rPr>
        <w:t>[Filed 6/15/05, Notice 4/13/05—published 7/6/05, effective 8/10/05]</w:t>
      </w:r>
    </w:p>
    <w:p>
      <w:pPr>
        <w:spacing w:before="0" w:after="0"/>
        <w:ind w:left="120"/>
        <w:jc w:val="center"/>
      </w:pPr>
      <w:r>
        <w:rPr>
          <w:rFonts w:ascii="Times New Roman" w:hAnsi="Times New Roman"/>
          <w:b w:val="false"/>
          <w:i w:val="false"/>
          <w:color w:val="000000"/>
          <w:sz w:val="21"/>
        </w:rPr>
        <w:t>[Filed 12/9/05, Notice 10/12/05—published 1/4/06, effective 2/8/06]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9547B</w:t>
      </w:r>
      <w:r>
        <w:rPr>
          <w:rFonts w:ascii="Times New Roman" w:hAnsi="Times New Roman"/>
          <w:b w:val="false"/>
          <w:i w:val="false"/>
          <w:color w:val="000000"/>
          <w:sz w:val="21"/>
        </w:rPr>
        <w:t xml:space="preserve"> (Notice ARC 9416B,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0777C</w:t>
      </w:r>
      <w:r>
        <w:rPr>
          <w:rFonts w:ascii="Times New Roman" w:hAnsi="Times New Roman"/>
          <w:b w:val="false"/>
          <w:i w:val="false"/>
          <w:color w:val="000000"/>
          <w:sz w:val="21"/>
        </w:rPr>
        <w:t xml:space="preserve"> (Notice ARC 0679C,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Emergency ARC 4390C, IAB 4/10/19, effective 3/22/19]</w:t>
      </w:r>
    </w:p>
    <w:p>
      <w:pPr>
        <w:spacing w:before="0" w:after="0"/>
        <w:ind w:left="120"/>
        <w:jc w:val="center"/>
      </w:pPr>
      <w:r>
        <w:rPr>
          <w:rFonts w:ascii="Times New Roman" w:hAnsi="Times New Roman"/>
          <w:b w:val="false"/>
          <w:i w:val="false"/>
          <w:color w:val="000000"/>
          <w:sz w:val="21"/>
        </w:rPr>
        <w:t>[Filed ARC 4557C</w:t>
      </w:r>
      <w:r>
        <w:rPr>
          <w:rFonts w:ascii="Times New Roman" w:hAnsi="Times New Roman"/>
          <w:b w:val="false"/>
          <w:i w:val="false"/>
          <w:color w:val="000000"/>
          <w:sz w:val="21"/>
        </w:rPr>
        <w:t xml:space="preserve"> (Notice ARC 4389C, IAB 4/10/19)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5767C</w:t>
      </w:r>
      <w:r>
        <w:rPr>
          <w:rFonts w:ascii="Times New Roman" w:hAnsi="Times New Roman"/>
          <w:b w:val="false"/>
          <w:i w:val="false"/>
          <w:color w:val="000000"/>
          <w:sz w:val="21"/>
        </w:rPr>
        <w:t xml:space="preserve"> (Notice ARC 5442C,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7919C</w:t>
      </w:r>
      <w:r>
        <w:rPr>
          <w:rFonts w:ascii="Times New Roman" w:hAnsi="Times New Roman"/>
          <w:b w:val="false"/>
          <w:i w:val="false"/>
          <w:color w:val="000000"/>
          <w:sz w:val="21"/>
        </w:rPr>
        <w:t xml:space="preserve"> (Notice ARC 7295C,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4D.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