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892</w:t>
      </w:r>
    </w:p>
    <w:p>
      <w:pPr>
        <w:spacing w:before="0" w:after="0"/>
        <w:ind w:left="120"/>
        <w:jc w:val="center"/>
      </w:pPr>
      <w:r>
        <w:rPr>
          <w:rFonts w:ascii="Times New Roman" w:hAnsi="Times New Roman"/>
          <w:b w:val="false"/>
          <w:i w:val="false"/>
          <w:color w:val="000000"/>
          <w:sz w:val="21"/>
        </w:rPr>
        <w:t xml:space="preserve">CONTINUING EDUCATION FOR MARITAL AND </w:t>
      </w:r>
      <w:r>
        <w:br/>
      </w:r>
      <w:r>
        <w:rPr>
          <w:rFonts w:ascii="Times New Roman" w:hAnsi="Times New Roman"/>
          <w:b w:val="false"/>
          <w:i w:val="false"/>
          <w:color w:val="000000"/>
          <w:sz w:val="21"/>
        </w:rPr>
        <w:t>FAMILY THERAPISTS AND MENTAL HEALTH COUNSELORS</w:t>
      </w:r>
    </w:p>
    <w:p>
      <w:pPr>
        <w:spacing w:before="0" w:after="0"/>
        <w:ind w:left="120"/>
        <w:jc w:val="center"/>
      </w:pPr>
      <w:r>
        <w:rPr>
          <w:rFonts w:ascii="Times New Roman" w:hAnsi="Times New Roman"/>
          <w:b w:val="false"/>
          <w:i w:val="false"/>
          <w:color w:val="000000"/>
          <w:sz w:val="14"/>
        </w:rPr>
        <w:t>[Prior to 9/18/24, see Professional Licensure Division[645] Ch 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481—892.1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the license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behavioral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 xml:space="preserve">means a continuing education program or activity that a licensee pursues autonomously that includes a posttest and meets the general criteria in subrule </w:t>
      </w:r>
      <w:r>
        <w:rPr>
          <w:rFonts w:ascii="Times New Roman" w:hAnsi="Times New Roman"/>
          <w:b w:val="false"/>
          <w:i w:val="false"/>
          <w:color w:val="000000"/>
          <w:sz w:val="22"/>
        </w:rPr>
        <w:t>892.3(1)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marital and family therapy or mental health counseling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481—892.2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shall extend for a 25-month period beginning on September 1 of the even-numbered year and ending on September 30 of the next even-numbered year. Each biennium, each person who is licensed to practice as a licensee in this state is required to complete a minimum of 40 hours of continuing education that meets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The new licensee will be required to complete a minimum of 40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biennium except as stated for the second renewal.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481—892.3</w:t>
      </w:r>
      <w:r>
        <w:rPr>
          <w:rFonts w:ascii="Times New Roman" w:hAnsi="Times New Roman"/>
          <w:b/>
          <w:i w:val="false"/>
          <w:color w:val="000000"/>
          <w:sz w:val="22"/>
        </w:rPr>
        <w:t xml:space="preserve">(154D,272C)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which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which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which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hours of credit may be obtained by completing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Attendance at workshops, conferences, symposiums and webinars.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courses. Official transcripts indicating successful completion of academic courses which apply to the field of mental health counseling or marital and family therapy, as appropriate, will be necessary in order to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Completion of independent study courses that meet the general criteria in subrule </w:t>
      </w:r>
      <w:r>
        <w:rPr>
          <w:rFonts w:ascii="Times New Roman" w:hAnsi="Times New Roman"/>
          <w:b w:val="false"/>
          <w:i w:val="false"/>
          <w:color w:val="000000"/>
          <w:sz w:val="22"/>
        </w:rPr>
        <w:t>892.3(1)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maximum of 20 hours of continuing education credit may be granted for any of the following activities not to exceed a combined total of 20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Presenting professional programs which meet the criteria in rule </w:t>
      </w:r>
      <w:hyperlink r:id="rId5">
        <w:r>
          <w:rPr>
            <w:rStyle w:val="Hyperlink"/>
            <w:rFonts w:ascii="Times New Roman" w:hAnsi="Times New Roman"/>
            <w:b w:val="false"/>
            <w:i w:val="false"/>
            <w:color w:val="000000"/>
            <w:sz w:val="22"/>
          </w:rPr>
          <w:t>481—892.3</w:t>
        </w:r>
      </w:hyperlink>
      <w:r>
        <w:rPr>
          <w:rFonts w:ascii="Times New Roman" w:hAnsi="Times New Roman"/>
          <w:b w:val="false"/>
          <w:i w:val="false"/>
          <w:color w:val="000000"/>
          <w:sz w:val="22"/>
        </w:rPr>
        <w:t>(272C). Two hours of credit will be awarded for each hour of presentation. A course schedule or brochure must be maintained for audit. Presentation at a professional program does not include teaching a class at an institution of higher learning at which the applicant is regularly and primarily employed. Presentations to lay public are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Scholarly research or other activities, the results of which are published in a recognized professional publication such as a refereed journal, monograph or conference proceedings. The scholarly research must be integrally related to the practice of the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Publication in a refereed journal. The article in a refereed journal for which the licensee is seeking continuing education credit must be integrally related to the practice of the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in an approved college, university, or graduate school. The licensee may receive credit on a one-time basis for the first offering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Authoring papers, publications, and books. The licensee will receive 5 hours of credit per page with a maximum of 20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Serving on a state or national professional board. The licensee will receive a maximum of three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892.3(3)</w:t>
      </w:r>
      <w:r>
        <w:rPr>
          <w:rFonts w:ascii="Times New Roman" w:hAnsi="Times New Roman"/>
          <w:b w:val="false"/>
          <w:i w:val="false"/>
          <w:color w:val="000000"/>
          <w:sz w:val="22"/>
        </w:rPr>
        <w:t> </w:t>
      </w:r>
      <w:r>
        <w:rPr>
          <w:rFonts w:ascii="Times New Roman" w:hAnsi="Times New Roman"/>
          <w:b w:val="false"/>
          <w:i/>
          <w:color w:val="000000"/>
          <w:sz w:val="22"/>
        </w:rPr>
        <w:t xml:space="preserve">Required 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 hours of the 40 continuing education hours will be in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with the biennial continuing education compliance period that begins October 1, 2022, persons serving in a supervisory role must complete three hours of continuing education in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 licensee who regularly examines, attends, counsels or treats adults in Iowa shall complete, within six months of employment or prior to the expiration of a current certification, an initial two-hour course in dependent adult abuse training for mandatory reporters offered by the department of health and human services. Thereafter, all mandatory reporters shall take a one-hour recertification training every three years, prior to the expiration of a current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 licensee who regularly examines, attends, counsels or treats children in Iowa shall complete, within six months of employment or prior to the expiration of a current certification, an initial two-hour course in child abuse training for mandatory reporters offered by the department of health and human services. Thereafter, all mandatory reporters shall take a one-hour recertification training every three years, prior to the expiration of a current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2/1/01, Notice 10/18/00—published 2/21/01, effective 3/28/01]</w:t>
      </w:r>
    </w:p>
    <w:p>
      <w:pPr>
        <w:spacing w:before="0" w:after="0"/>
        <w:ind w:left="120"/>
        <w:jc w:val="center"/>
      </w:pPr>
      <w:r>
        <w:rPr>
          <w:rFonts w:ascii="Times New Roman" w:hAnsi="Times New Roman"/>
          <w:b w:val="false"/>
          <w:i w:val="false"/>
          <w:color w:val="000000"/>
          <w:sz w:val="21"/>
        </w:rPr>
        <w:t>[Filed 12/6/01, Notice 10/3/01—published 12/26/01, effective 1/30/02]</w:t>
      </w:r>
    </w:p>
    <w:p>
      <w:pPr>
        <w:spacing w:before="0" w:after="0"/>
        <w:ind w:left="120"/>
        <w:jc w:val="center"/>
      </w:pPr>
      <w:r>
        <w:rPr>
          <w:rFonts w:ascii="Times New Roman" w:hAnsi="Times New Roman"/>
          <w:b w:val="false"/>
          <w:i w:val="false"/>
          <w:color w:val="000000"/>
          <w:sz w:val="21"/>
        </w:rPr>
        <w:t>[Filed 6/15/05, Notice 4/13/05—published 7/6/05, effective 8/10/05]</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9547B</w:t>
      </w:r>
      <w:r>
        <w:rPr>
          <w:rFonts w:ascii="Times New Roman" w:hAnsi="Times New Roman"/>
          <w:b w:val="false"/>
          <w:i w:val="false"/>
          <w:color w:val="000000"/>
          <w:sz w:val="21"/>
        </w:rPr>
        <w:t xml:space="preserve"> (Notice ARC 9416B, IAB 3/9/11)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2845C</w:t>
      </w:r>
      <w:r>
        <w:rPr>
          <w:rFonts w:ascii="Times New Roman" w:hAnsi="Times New Roman"/>
          <w:b w:val="false"/>
          <w:i w:val="false"/>
          <w:color w:val="000000"/>
          <w:sz w:val="21"/>
        </w:rPr>
        <w:t xml:space="preserve"> (Notice ARC 2738C,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5011C</w:t>
      </w:r>
      <w:r>
        <w:rPr>
          <w:rFonts w:ascii="Times New Roman" w:hAnsi="Times New Roman"/>
          <w:b w:val="false"/>
          <w:i w:val="false"/>
          <w:color w:val="000000"/>
          <w:sz w:val="21"/>
        </w:rPr>
        <w:t xml:space="preserve"> (Notice ARC 4746C, IAB 11/6/19)</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7918C</w:t>
      </w:r>
      <w:r>
        <w:rPr>
          <w:rFonts w:ascii="Times New Roman" w:hAnsi="Times New Roman"/>
          <w:b w:val="false"/>
          <w:i w:val="false"/>
          <w:color w:val="000000"/>
          <w:sz w:val="21"/>
        </w:rPr>
        <w:t xml:space="preserve"> (Notice ARC 7294C,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92.3.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54D.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