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PSYCHOLOGY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885</w:t>
      </w:r>
    </w:p>
    <w:p>
      <w:pPr>
        <w:spacing w:before="0" w:after="0"/>
        <w:ind w:left="120"/>
        <w:jc w:val="center"/>
      </w:pPr>
      <w:r>
        <w:rPr>
          <w:rFonts w:ascii="Times New Roman" w:hAnsi="Times New Roman"/>
          <w:b w:val="false"/>
          <w:i w:val="false"/>
          <w:color w:val="000000"/>
          <w:sz w:val="21"/>
        </w:rPr>
        <w:t>LICENSURE OF PSYCHOLOGISTS</w:t>
      </w:r>
    </w:p>
    <w:p>
      <w:pPr>
        <w:spacing w:before="0" w:after="0"/>
        <w:ind w:left="120"/>
        <w:jc w:val="center"/>
      </w:pPr>
      <w:r>
        <w:rPr>
          <w:rFonts w:ascii="Times New Roman" w:hAnsi="Times New Roman"/>
          <w:b w:val="false"/>
          <w:i w:val="false"/>
          <w:color w:val="000000"/>
          <w:sz w:val="14"/>
        </w:rPr>
        <w:t>[Prior to 9/18/24, see Professional Licensure Division[645] Ch 240]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481—885.1</w:t>
      </w:r>
      <w:r>
        <w:rPr>
          <w:rFonts w:ascii="Times New Roman" w:hAnsi="Times New Roman"/>
          <w:b/>
          <w:i w:val="false"/>
          <w:color w:val="000000"/>
          <w:sz w:val="22"/>
        </w:rPr>
        <w:t xml:space="preserve">(154B)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“ASPPB” </w:t>
      </w:r>
      <w:r>
        <w:rPr>
          <w:rFonts w:ascii="Times New Roman" w:hAnsi="Times New Roman"/>
          <w:b w:val="false"/>
          <w:i w:val="false"/>
          <w:color w:val="000000"/>
          <w:sz w:val="22"/>
        </w:rPr>
        <w:t>means the Association of State and Provincial Psychology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r>
        <w:rPr>
          <w:rFonts w:ascii="Times New Roman" w:hAnsi="Times New Roman"/>
          <w:b w:val="false"/>
          <w:i w:val="false"/>
          <w:color w:val="000000"/>
          <w:sz w:val="22"/>
        </w:rPr>
        <w:t>means a person who works in a clinical setting, who is licensed to practice psychology and who has a doctoral degree in psychology. A person certified as a health service provider in psychology shall be deemed qualified to diagnose or evaluate mental illness and nervous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the provision of health services in psychology by the applicant to individuals or groups of clients/patients. Clinical experience does not include teaching or research performed in an academic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psychologist or health service provider in psychology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psychology to an applicant who is or has been licensed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the requirements found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Examination for Professional Practice in Psychology (EPPP).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 person who is completing a predoctoral internship or postdoctoral residency under supervision in order to satisfy the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481—885.11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481—885.2</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8">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885.2(2)</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of psychology have been received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885.2(3)</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885.2(4)</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481—885.3</w:t>
      </w:r>
      <w:r>
        <w:rPr>
          <w:rFonts w:ascii="Times New Roman" w:hAnsi="Times New Roman"/>
          <w:b/>
          <w:i w:val="false"/>
          <w:color w:val="000000"/>
          <w:sz w:val="22"/>
        </w:rPr>
        <w:t xml:space="preserve">(154B)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885.3(1)</w:t>
      </w:r>
      <w:r>
        <w:rPr>
          <w:rFonts w:ascii="Times New Roman" w:hAnsi="Times New Roman"/>
          <w:b w:val="false"/>
          <w:i w:val="false"/>
          <w:color w:val="000000"/>
          <w:sz w:val="22"/>
        </w:rPr>
        <w:t> </w:t>
      </w:r>
      <w:r>
        <w:rPr>
          <w:rFonts w:ascii="Times New Roman" w:hAnsi="Times New Roman"/>
          <w:b w:val="false"/>
          <w:i w:val="false"/>
          <w:color w:val="000000"/>
          <w:sz w:val="22"/>
        </w:rPr>
        <w:t xml:space="preserve"> At the time of an applicant’s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from which the doctoral degree in psychology is granted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Accredited by the American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Accredited by the Canadian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Designated by the ASPPB/National Register;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holds current board certification from the American Board of Professional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postdoctoral respecialization certificate from a program accredited by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885.3(2)</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w:t>
      </w:r>
      <w:hyperlink r:id="rId9">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 xml:space="preserv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National Register of Health Service Psychologists, 1200 New York Avenue NW, Suite 800, Washington, D.C. 20005, telephone 202.783.7663, website </w:t>
      </w:r>
      <w:hyperlink r:id="rId10">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11">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w:t>
      </w:r>
      <w:hyperlink r:id="rId12">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evidence of meeting all other requirements for licensure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481—885.4</w:t>
      </w:r>
      <w:r>
        <w:rPr>
          <w:rFonts w:ascii="Times New Roman" w:hAnsi="Times New Roman"/>
          <w:b/>
          <w:i w:val="false"/>
          <w:color w:val="000000"/>
          <w:sz w:val="22"/>
        </w:rPr>
        <w:t xml:space="preserve">(154B)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An applicant will pass the national examination to be eligible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885.4(1)</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national examination, 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requirements of subrules </w:t>
      </w:r>
      <w:hyperlink r:id="rId13">
        <w:r>
          <w:rPr>
            <w:rStyle w:val="Hyperlink"/>
            <w:rFonts w:ascii="Times New Roman" w:hAnsi="Times New Roman"/>
            <w:b w:val="false"/>
            <w:i w:val="false"/>
            <w:color w:val="000000"/>
            <w:sz w:val="22"/>
          </w:rPr>
          <w:t>885.2(1) and 885.2(2)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official copies of academic transcripts sent directly from the school to the board of psychology verifying completion of a doctoral degree in psychology in accordance with rule </w:t>
      </w:r>
      <w:hyperlink r:id="rId14">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885.4(2)</w:t>
      </w:r>
      <w:r>
        <w:rPr>
          <w:rFonts w:ascii="Times New Roman" w:hAnsi="Times New Roman"/>
          <w:b w:val="false"/>
          <w:i w:val="false"/>
          <w:color w:val="000000"/>
          <w:sz w:val="22"/>
        </w:rPr>
        <w:t> </w:t>
      </w:r>
      <w:r>
        <w:rPr>
          <w:rFonts w:ascii="Times New Roman" w:hAnsi="Times New Roman"/>
          <w:b w:val="false"/>
          <w:i w:val="false"/>
          <w:color w:val="000000"/>
          <w:sz w:val="22"/>
        </w:rPr>
        <w:t>The EPPP passing score shall be utilized as the Iowa passing score.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481—885.5</w:t>
      </w:r>
      <w:r>
        <w:rPr>
          <w:rFonts w:ascii="Times New Roman" w:hAnsi="Times New Roman"/>
          <w:b/>
          <w:i w:val="false"/>
          <w:color w:val="000000"/>
          <w:sz w:val="22"/>
        </w:rPr>
        <w:t xml:space="preserve">(154B) </w:t>
      </w:r>
      <w:r>
        <w:rPr>
          <w:rFonts w:ascii="Times New Roman" w:hAnsi="Times New Roman"/>
          <w:b/>
          <w:i w:val="false"/>
          <w:color w:val="000000"/>
          <w:sz w:val="22"/>
        </w:rPr>
        <w:t xml:space="preserve">Postdoctoral residency.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postdoctoral residency may begin after all academic requirements for the doctoral degree, including completion of the predoctoral internship, have been completed. The postdoctoral residency shall consist of a minimum of 1,500 hours that are completed in no less than ten months.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885.5(2)</w:t>
      </w:r>
      <w:r>
        <w:rPr>
          <w:rFonts w:ascii="Times New Roman" w:hAnsi="Times New Roman"/>
          <w:b w:val="false"/>
          <w:i w:val="false"/>
          <w:color w:val="000000"/>
          <w:sz w:val="22"/>
        </w:rPr>
        <w:t> </w:t>
      </w:r>
      <w:r>
        <w:rPr>
          <w:rFonts w:ascii="Times New Roman" w:hAnsi="Times New Roman"/>
          <w:b w:val="false"/>
          <w:i w:val="false"/>
          <w:color w:val="000000"/>
          <w:sz w:val="22"/>
        </w:rPr>
        <w:t>During the postdoctoral residency, the supervisee will competently apply the principles of psychology under the supervision of a licensed psychologist who is actively licensed in the jurisdiction where the supervision occurs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complete a supervision plan using the form provided by the board. The supervision plan must be submitted to the board if the supervisee is applying for or utilizing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supervisor will not have more than three concurrent full-time supervisees or the equivalent in part-time supervisees. Full-time is defined as 40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meet individually in person or via videoconferencing during each week in which postdoctoral residency hours are accrued, for no less than a total of 45 hours during the postdoctoral residency. Group supervision hours cannot count toward the 45 hours of individual supervision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supervision at all times, which means the supervisor will be readily available on site, or via electronic or telephonic means, at all times when the supervisee is providing services so that the supervisee may contact the supervisor for advice, assistance, or instruction. A supervisor will identify one or more licensed mental health providers who can be contacted for advice, assistance, or instruction during times in which the supervisor will not be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have a crisis plan in place any time the supervisee is providing services and the supervisor is not on site in the same physical setting as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supervisor will 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training that is appropriate to the functions to be performed. The supervisee shall have the background, training, and experience that is appropriate to the functions performed. The supervisor shall not permit the supervisee to engage in any psychological practice that the supervisor cannot perform competently.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supervisor and supervisee will ensure clients are informed regarding the supervisee’s status and the sharing of information between the supervisee and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supervisor will have reasonable access to the clinical records corresponding to the work being supervised. The supervisor will countersign all written reports, clinical records and clinical communications as “Reviewed and Approved” by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services will be offered in the name of the supervisor. The supervisee and supervisor will ensure that the supervisee uses a title in accordance with rule </w:t>
      </w:r>
      <w:hyperlink r:id="rId15">
        <w:r>
          <w:rPr>
            <w:rStyle w:val="Hyperlink"/>
            <w:rFonts w:ascii="Times New Roman" w:hAnsi="Times New Roman"/>
            <w:b w:val="false"/>
            <w:i w:val="false"/>
            <w:color w:val="000000"/>
            <w:sz w:val="22"/>
          </w:rPr>
          <w:t>481—885.13</w:t>
        </w:r>
      </w:hyperlink>
      <w:r>
        <w:rPr>
          <w:rFonts w:ascii="Times New Roman" w:hAnsi="Times New Roman"/>
          <w:b w:val="false"/>
          <w:i w:val="false"/>
          <w:color w:val="000000"/>
          <w:sz w:val="22"/>
        </w:rPr>
        <w:t>(154B,147).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fee schedule and receipt of payment will remain the sole domain of the supervisor or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supervisor will maintain an ongoing record of supervision that details the types of activities in which the supervisee is engaged, the level of the supervisee’s competence in each, and the type and outcome of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supervisor is responsible for determining the competency of the work performed by the supervisee and must honestly and accurately complete the supervision report at the conclusion of providing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481—885.6</w:t>
      </w:r>
      <w:r>
        <w:rPr>
          <w:rFonts w:ascii="Times New Roman" w:hAnsi="Times New Roman"/>
          <w:b/>
          <w:i w:val="false"/>
          <w:color w:val="000000"/>
          <w:sz w:val="22"/>
        </w:rPr>
        <w:t xml:space="preserve">(154B) </w:t>
      </w:r>
      <w:r>
        <w:rPr>
          <w:rFonts w:ascii="Times New Roman" w:hAnsi="Times New Roman"/>
          <w:b/>
          <w:i w:val="false"/>
          <w:color w:val="000000"/>
          <w:sz w:val="22"/>
        </w:rPr>
        <w:t xml:space="preserve">Certified health service provider in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 xml:space="preserve">The applicant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at least one year of clinical experience in an organized health service training program that meets the requirements of </w:t>
      </w:r>
      <w:hyperlink r:id="rId16">
        <w:r>
          <w:rPr>
            <w:rStyle w:val="Hyperlink"/>
            <w:rFonts w:ascii="Times New Roman" w:hAnsi="Times New Roman"/>
            <w:b w:val="false"/>
            <w:i w:val="false"/>
            <w:color w:val="000000"/>
            <w:sz w:val="22"/>
          </w:rPr>
          <w:t>subrule 885.6(2)</w:t>
        </w:r>
      </w:hyperlink>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17">
        <w:r>
          <w:rPr>
            <w:rStyle w:val="Hyperlink"/>
            <w:rFonts w:ascii="Times New Roman" w:hAnsi="Times New Roman"/>
            <w:b w:val="false"/>
            <w:i w:val="false"/>
            <w:color w:val="000000"/>
            <w:sz w:val="22"/>
          </w:rPr>
          <w:t>481—885.5</w:t>
        </w:r>
      </w:hyperlink>
      <w:r>
        <w:rPr>
          <w:rFonts w:ascii="Times New Roman" w:hAnsi="Times New Roman"/>
          <w:b w:val="false"/>
          <w:i w:val="false"/>
          <w:color w:val="000000"/>
          <w:sz w:val="22"/>
        </w:rPr>
        <w:t xml:space="preserve">(154B). Alternatively, an applicant may submit verification of current registration at the doctoral level by the National Register of Health Service Psychologists to verify completion of the required clinical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the intern with a planned, programmed sequence of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that trainees have a minimum of 375 hours of direct patient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training that is at the postclerkship, postpracticum, and postexternship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481—885.7</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885.7(1)</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provisional application for licensure and pay the nonrefundable licensure fee specified in rule </w:t>
      </w:r>
      <w:hyperlink r:id="rId18">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acceptance letter for the predoctoral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enrolled in an educational program that meets the requirements of rule </w:t>
      </w:r>
      <w:hyperlink r:id="rId19">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885.7(2)</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20">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from the school establishing that the requirements stated in rule </w:t>
      </w:r>
      <w:hyperlink r:id="rId21">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885.7(3)</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supervision plan as required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possesses a doctoral degree in psychology and has been a licensed psychologist at the doctoral level under the laws of another jurisdiction may file an application for licensure by endorsement with the board office. The board may license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22">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 xml:space="preserve">(147,154B).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license from the jurisdiction in which the applicant has most recently been licensed, and additional verifications if necessary to verify at least three years of an independent license as described in subrule </w:t>
      </w:r>
      <w:r>
        <w:rPr>
          <w:rFonts w:ascii="Times New Roman" w:hAnsi="Times New Roman"/>
          <w:b w:val="false"/>
          <w:i w:val="false"/>
          <w:color w:val="000000"/>
          <w:sz w:val="22"/>
        </w:rPr>
        <w:t>885.8(4)</w:t>
      </w:r>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a current Certificate of Professional Qualification (CPQ) issued by the ASPPB, or verification of a doctoral degree in psychology and an independent license to practice psychology in another jurisdiction for at least three years with no disciplinary history. Except as stated in </w:t>
      </w:r>
      <w:hyperlink r:id="rId23">
        <w:r>
          <w:rPr>
            <w:rStyle w:val="Hyperlink"/>
            <w:rFonts w:ascii="Times New Roman" w:hAnsi="Times New Roman"/>
            <w:b w:val="false"/>
            <w:i w:val="false"/>
            <w:color w:val="000000"/>
            <w:sz w:val="22"/>
          </w:rPr>
          <w:t>subrule 885.3(2)</w:t>
        </w:r>
      </w:hyperlink>
      <w:r>
        <w:rPr>
          <w:rFonts w:ascii="Times New Roman" w:hAnsi="Times New Roman"/>
          <w:b w:val="false"/>
          <w:i w:val="false"/>
          <w:color w:val="000000"/>
          <w:sz w:val="22"/>
        </w:rPr>
        <w:t xml:space="preserve">, applicants providing certification or verification are deemed to have met the requirements stated in paragraphs </w:t>
      </w:r>
      <w:r>
        <w:rPr>
          <w:rFonts w:ascii="Times New Roman" w:hAnsi="Times New Roman"/>
          <w:b w:val="false"/>
          <w:i w:val="false"/>
          <w:color w:val="000000"/>
          <w:sz w:val="22"/>
        </w:rPr>
        <w:t>885.8(4)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board may license by endorsement any other applicant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the official EPPP score sent directly to the board from the ASPPB or verification of the EPPP score sent directly from the state of initial licensure. The recommended passing score established by the ASPPB shall be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substantially equivalent to those required in Iowa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that have been sent directly from the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applicant’s qualifications in writing on the prescribed forms by the applicant’s supervisors. If verification of professional experience is not available, the board may consider submission of documentation from the jurisdiction in which the applicant is currently licensed or equivalent documentation of supervision;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official copy of one of the following certifications sent directly to the board from the certifying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credentialing at the doctoral level as a health service provider in psychology by the National Register of Health Service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certification by the American Board of Professional Psychology that was originally granted on or after January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24">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481—885.9</w:t>
      </w:r>
      <w:r>
        <w:rPr>
          <w:rFonts w:ascii="Times New Roman" w:hAnsi="Times New Roman"/>
          <w:b/>
          <w:i w:val="false"/>
          <w:color w:val="000000"/>
          <w:sz w:val="22"/>
        </w:rPr>
        <w:t xml:space="preserve">(154B) </w:t>
      </w:r>
      <w:r>
        <w:rPr>
          <w:rFonts w:ascii="Times New Roman" w:hAnsi="Times New Roman"/>
          <w:b/>
          <w:i w:val="false"/>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25">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6">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885.9(1)</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885.9(2)</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psychology shall begin on July 1 of even-numbered years and end on June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7">
        <w:r>
          <w:rPr>
            <w:rStyle w:val="Hyperlink"/>
            <w:rFonts w:ascii="Times New Roman" w:hAnsi="Times New Roman"/>
            <w:b w:val="false"/>
            <w:i w:val="false"/>
            <w:color w:val="000000"/>
            <w:sz w:val="22"/>
          </w:rPr>
          <w:t>481—886.2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885.10(4)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2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885.10(4)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885.13(4)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885.13(4)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30">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885.10(4)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psychologist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become late when the license has not been renewed by the expiration date on the renewal. The licensee shall be assessed a late fee as specified in </w:t>
      </w:r>
      <w:hyperlink r:id="rId31">
        <w:r>
          <w:rPr>
            <w:rStyle w:val="Hyperlink"/>
            <w:rFonts w:ascii="Times New Roman" w:hAnsi="Times New Roman"/>
            <w:b w:val="false"/>
            <w:i w:val="false"/>
            <w:color w:val="000000"/>
            <w:sz w:val="22"/>
          </w:rPr>
          <w:t>481—subrule 507.16(3)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psychologist or health service provider in psychology in Iowa until the license is reactivated. A licensee who practices as a psychologist or health service provider in psychology in the state of Iowa with an inactive license may be subject to disciplinary action by the board, injunctive action pursuant to Iowa Code section </w:t>
      </w:r>
      <w:hyperlink r:id="rId32">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3">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4">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885.11(4)</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6">
        <w:r>
          <w:rPr>
            <w:rStyle w:val="Hyperlink"/>
            <w:rFonts w:ascii="Times New Roman" w:hAnsi="Times New Roman"/>
            <w:b w:val="false"/>
            <w:i w:val="false"/>
            <w:color w:val="000000"/>
            <w:sz w:val="22"/>
          </w:rPr>
          <w:t>481—885.14</w:t>
        </w:r>
      </w:hyperlink>
      <w:r>
        <w:rPr>
          <w:rFonts w:ascii="Times New Roman" w:hAnsi="Times New Roman"/>
          <w:b w:val="false"/>
          <w:i w:val="false"/>
          <w:color w:val="000000"/>
          <w:sz w:val="22"/>
        </w:rPr>
        <w:t>(17A,147,272C) prior to practicing as a psychologist or health service provider in psychology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481—885.13</w:t>
      </w:r>
      <w:r>
        <w:rPr>
          <w:rFonts w:ascii="Times New Roman" w:hAnsi="Times New Roman"/>
          <w:b/>
          <w:i w:val="false"/>
          <w:color w:val="000000"/>
          <w:sz w:val="22"/>
        </w:rPr>
        <w:t xml:space="preserve">(154B,147) </w:t>
      </w:r>
      <w:r>
        <w:rPr>
          <w:rFonts w:ascii="Times New Roman" w:hAnsi="Times New Roman"/>
          <w:b/>
          <w:i w:val="false"/>
          <w:color w:val="000000"/>
          <w:sz w:val="22"/>
        </w:rPr>
        <w:t xml:space="preserve">Title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enrolled in an education program that satisfies the requirements of </w:t>
      </w:r>
      <w:hyperlink r:id="rId37">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 xml:space="preserve"> and who are completing the predoctoral internship may be designated “psychology intern” or “intern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who have met educational requirements and who are completing the postdoctoral residency to be eligible for licensure may be designated “psychology resident,” “resident in psychology,” “psychology postdoctoral fellow,” or “postdoctoral fellow in psychology.” The designation of “resident” shall not be used except during a postdoctoral residency that meets the requirements of rule </w:t>
      </w:r>
      <w:hyperlink r:id="rId38">
        <w:r>
          <w:rPr>
            <w:rStyle w:val="Hyperlink"/>
            <w:rFonts w:ascii="Times New Roman" w:hAnsi="Times New Roman"/>
            <w:b w:val="false"/>
            <w:i w:val="false"/>
            <w:color w:val="000000"/>
            <w:sz w:val="22"/>
          </w:rPr>
          <w:t>481—885.6</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885.13(3)</w:t>
      </w:r>
      <w:r>
        <w:rPr>
          <w:rFonts w:ascii="Times New Roman" w:hAnsi="Times New Roman"/>
          <w:b w:val="false"/>
          <w:i w:val="false"/>
          <w:color w:val="000000"/>
          <w:sz w:val="22"/>
        </w:rPr>
        <w:t> </w:t>
      </w:r>
      <w:r>
        <w:rPr>
          <w:rFonts w:ascii="Times New Roman" w:hAnsi="Times New Roman"/>
          <w:b w:val="false"/>
          <w:i w:val="false"/>
          <w:color w:val="000000"/>
          <w:sz w:val="22"/>
        </w:rPr>
        <w:t>Persons who possess provisional licenses shall add the designation “provisional license in psychology” following the “resident,” “intern,” or “fellow”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481—885.14</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Psychologists’ supervision of persons other than postdoctoral residents in a practice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when a psychologist is supervising individuals who are not licensed or who are provisionally licensed and completing the predoctoral internship. This rule does not apply to supervision of an individual completing a postdoctoral residency in accordance with rule </w:t>
      </w:r>
      <w:hyperlink r:id="rId39">
        <w:r>
          <w:rPr>
            <w:rStyle w:val="Hyperlink"/>
            <w:rFonts w:ascii="Times New Roman" w:hAnsi="Times New Roman"/>
            <w:b w:val="false"/>
            <w:i w:val="false"/>
            <w:color w:val="000000"/>
            <w:sz w:val="22"/>
          </w:rPr>
          <w:t>481—885.6</w:t>
        </w:r>
      </w:hyperlink>
      <w:r>
        <w:rPr>
          <w:rFonts w:ascii="Times New Roman" w:hAnsi="Times New Roman"/>
          <w:b w:val="false"/>
          <w:i w:val="false"/>
          <w:color w:val="000000"/>
          <w:sz w:val="22"/>
        </w:rPr>
        <w:t>(154B), regardless of whether the individual is provisionally licensed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885.14(2)</w:t>
      </w:r>
      <w:r>
        <w:rPr>
          <w:rFonts w:ascii="Times New Roman" w:hAnsi="Times New Roman"/>
          <w:b w:val="false"/>
          <w:i w:val="false"/>
          <w:color w:val="000000"/>
          <w:sz w:val="22"/>
        </w:rPr>
        <w:t> </w:t>
      </w:r>
      <w:r>
        <w:rPr>
          <w:rFonts w:ascii="Times New Roman" w:hAnsi="Times New Roman"/>
          <w:b w:val="false"/>
          <w:i w:val="false"/>
          <w:color w:val="000000"/>
          <w:sz w:val="22"/>
        </w:rPr>
        <w:t>The supervising psychologist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vested with administrative control over the functioning of assistants in order to maintain ultimate responsibility for the welfare of every client. When the employer is a person other than the supervising psychologist, the supervising psychologist must have direct input into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knowledge of all clients, including face-to-face contact when necessary, in order to plan effective service delivery procedures. The progress of the work will be monitored through such means as will ensure that full legal and professional responsibility can be accepted by the supervisor for all services rendered. Supervisors will also be available for emergency consultation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work assignments that are commensurate with the skills of the supervisee. All procedures will be planned in consultation with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same physical setting as the supervisee, unless the supervisee is receiving formal training pursuant to the requirements for licensure as a psychologist. For supervisees working off site while receiving formal licensure training, ensure the off-site location has a licensed mental health provider or primary care provider on site whenever the supervisee is working for purposes of providing emergency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public announcement of services and fees; contact with laypersons or the professional community will be offered only by or in the name of the supervising psychologist. Titles of unlicensed persons must clearly indicate their supervised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specific information to clients when an unlicensed person delivers services to those clients, including disclosure of the unlicensed person’s status and information regarding the person’s qualifications and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 clients of the possibility of periodic meetings with the supervising psychologist at the client’s, the supervisee’s or the supervisor’s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for setting and receipt of payment that will remain the sole domain of the employing agency or supervising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a detailed job description in which functions are designated at varying levels of difficulty, requiring increasing levels of training, skill and experience. This job description will be made available to representatives of the board and service recipients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planning, course, and outcome of the work. The conduct of supervision shall ensure the professional, ethical, and legal protection of the client and of the unlicensed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Countersign all written reports, clinical records and clinical communications as “Reviewed and Approved” by the supervising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2/15/02, Notice 12/12/01—published 3/6/02, effective 4/10/02]</w:t>
      </w:r>
    </w:p>
    <w:p>
      <w:pPr>
        <w:spacing w:before="0" w:after="0"/>
        <w:ind w:left="120"/>
        <w:jc w:val="center"/>
      </w:pPr>
      <w:r>
        <w:rPr>
          <w:rFonts w:ascii="Times New Roman" w:hAnsi="Times New Roman"/>
          <w:b w:val="false"/>
          <w:i w:val="false"/>
          <w:color w:val="000000"/>
          <w:sz w:val="21"/>
        </w:rPr>
        <w:t>[Filed 8/16/02, Notice 6/12/02—published 9/4/02, effective 10/9/02]</w:t>
      </w:r>
    </w:p>
    <w:p>
      <w:pPr>
        <w:spacing w:before="0" w:after="0"/>
        <w:ind w:left="120"/>
        <w:jc w:val="center"/>
      </w:pPr>
      <w:r>
        <w:rPr>
          <w:rFonts w:ascii="Times New Roman" w:hAnsi="Times New Roman"/>
          <w:b w:val="false"/>
          <w:i w:val="false"/>
          <w:color w:val="000000"/>
          <w:sz w:val="21"/>
        </w:rPr>
        <w:t>[Filed 8/27/03, Notice 5/28/03—published 9/17/03, effective 10/22/03]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11/12/04, Notice 7/21/04—published 12/8/04, effective 1/12/05]</w:t>
      </w:r>
    </w:p>
    <w:p>
      <w:pPr>
        <w:spacing w:before="0" w:after="0"/>
        <w:ind w:left="120"/>
        <w:jc w:val="center"/>
      </w:pPr>
      <w:r>
        <w:rPr>
          <w:rFonts w:ascii="Times New Roman" w:hAnsi="Times New Roman"/>
          <w:b w:val="false"/>
          <w:i w:val="false"/>
          <w:color w:val="000000"/>
          <w:sz w:val="21"/>
        </w:rPr>
        <w:t>[Filed 11/12/04, Notice 9/1/04—published 12/8/04, effective 1/12/05]</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11/9/05, Notice 8/31/05—published 12/7/05, effective 1/11/06]</w:t>
      </w:r>
    </w:p>
    <w:p>
      <w:pPr>
        <w:spacing w:before="0" w:after="0"/>
        <w:ind w:left="120"/>
        <w:jc w:val="center"/>
      </w:pPr>
      <w:r>
        <w:rPr>
          <w:rFonts w:ascii="Times New Roman" w:hAnsi="Times New Roman"/>
          <w:b w:val="false"/>
          <w:i w:val="false"/>
          <w:color w:val="000000"/>
          <w:sz w:val="21"/>
        </w:rPr>
        <w:t>[Filed 2/3/06, Notice 12/7/05—published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9937B</w:t>
      </w:r>
      <w:r>
        <w:rPr>
          <w:rFonts w:ascii="Times New Roman" w:hAnsi="Times New Roman"/>
          <w:b w:val="false"/>
          <w:i w:val="false"/>
          <w:color w:val="000000"/>
          <w:sz w:val="21"/>
        </w:rPr>
        <w:t xml:space="preserve"> (Notice ARC 9673B, IAB 8/10/11)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5073C</w:t>
      </w:r>
      <w:r>
        <w:rPr>
          <w:rFonts w:ascii="Times New Roman" w:hAnsi="Times New Roman"/>
          <w:b w:val="false"/>
          <w:i w:val="false"/>
          <w:color w:val="000000"/>
          <w:sz w:val="21"/>
        </w:rPr>
        <w:t xml:space="preserve"> (Notice ARC 4934C,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5225C</w:t>
      </w:r>
      <w:r>
        <w:rPr>
          <w:rFonts w:ascii="Times New Roman" w:hAnsi="Times New Roman"/>
          <w:b w:val="false"/>
          <w:i w:val="false"/>
          <w:color w:val="000000"/>
          <w:sz w:val="21"/>
        </w:rPr>
        <w:t xml:space="preserve"> (Notice ARC 5002C, IAB 3/25/20)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5777C</w:t>
      </w:r>
      <w:r>
        <w:rPr>
          <w:rFonts w:ascii="Times New Roman" w:hAnsi="Times New Roman"/>
          <w:b w:val="false"/>
          <w:i w:val="false"/>
          <w:color w:val="000000"/>
          <w:sz w:val="21"/>
        </w:rPr>
        <w:t xml:space="preserve"> (Notice ARC 5451C,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7821C</w:t>
      </w:r>
      <w:r>
        <w:rPr>
          <w:rFonts w:ascii="Times New Roman" w:hAnsi="Times New Roman"/>
          <w:b w:val="false"/>
          <w:i w:val="false"/>
          <w:color w:val="000000"/>
          <w:sz w:val="21"/>
        </w:rPr>
        <w:t xml:space="preserve"> (Notice ARC 7288C,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ac/rule/481.885.11.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16.pdf" Type="http://schemas.openxmlformats.org/officeDocument/2006/relationships/hyperlink" Id="rId8"/>
    <Relationship TargetMode="External" Target="https://www.legis.iowa.gov/docs/iac/rule/645.240.3.pdf" Type="http://schemas.openxmlformats.org/officeDocument/2006/relationships/hyperlink" Id="rId9"/>
    <Relationship TargetMode="External" Target="http://www.nationalregister.org" Type="http://schemas.openxmlformats.org/officeDocument/2006/relationships/hyperlink" Id="rId10"/>
    <Relationship TargetMode="External" Target="http://www.naces.org" Type="http://schemas.openxmlformats.org/officeDocument/2006/relationships/hyperlink" Id="rId11"/>
    <Relationship TargetMode="External" Target="https://www.legis.iowa.gov/docs/iac/rule/645.240.3.pdf" Type="http://schemas.openxmlformats.org/officeDocument/2006/relationships/hyperlink" Id="rId12"/>
    <Relationship TargetMode="External" Target="https://www.legis.iowa.gov/docs/iac/rule/645.240.2.pdf" Type="http://schemas.openxmlformats.org/officeDocument/2006/relationships/hyperlink" Id="rId13"/>
    <Relationship TargetMode="External" Target="https://www.legis.iowa.gov/docs/iac/rule/481.885.3.pdf" Type="http://schemas.openxmlformats.org/officeDocument/2006/relationships/hyperlink" Id="rId14"/>
    <Relationship TargetMode="External" Target="https://www.legis.iowa.gov/docs/iac/rule/481.885.13.pdf" Type="http://schemas.openxmlformats.org/officeDocument/2006/relationships/hyperlink" Id="rId15"/>
    <Relationship TargetMode="External" Target="https://www.legis.iowa.gov/docs/iac/rule/645.240.6.pdf" Type="http://schemas.openxmlformats.org/officeDocument/2006/relationships/hyperlink" Id="rId16"/>
    <Relationship TargetMode="External" Target="https://www.legis.iowa.gov/docs/iac/rule/481.885.5.pdf" Type="http://schemas.openxmlformats.org/officeDocument/2006/relationships/hyperlink" Id="rId17"/>
    <Relationship TargetMode="External" Target="https://www.legis.iowa.gov/docs/iac/rule/481.507.16.pdf" Type="http://schemas.openxmlformats.org/officeDocument/2006/relationships/hyperlink" Id="rId18"/>
    <Relationship TargetMode="External" Target="https://www.legis.iowa.gov/docs/iac/rule/481.885.3.pdf" Type="http://schemas.openxmlformats.org/officeDocument/2006/relationships/hyperlink" Id="rId19"/>
    <Relationship TargetMode="External" Target="https://www.legis.iowa.gov/docs/iac/rule/481.507.16.pdf" Type="http://schemas.openxmlformats.org/officeDocument/2006/relationships/hyperlink" Id="rId20"/>
    <Relationship TargetMode="External" Target="https://www.legis.iowa.gov/docs/iac/rule/481.885.3.pdf" Type="http://schemas.openxmlformats.org/officeDocument/2006/relationships/hyperlink" Id="rId21"/>
    <Relationship TargetMode="External" Target="https://www.legis.iowa.gov/docs/iac/rule/481.507.16.pdf" Type="http://schemas.openxmlformats.org/officeDocument/2006/relationships/hyperlink" Id="rId22"/>
    <Relationship TargetMode="External" Target="https://www.legis.iowa.gov/docs/iac/rule/645.240.3.pdf" Type="http://schemas.openxmlformats.org/officeDocument/2006/relationships/hyperlink" Id="rId23"/>
    <Relationship TargetMode="External" Target="https://www.legis.iowa.gov/docs/iac/rule/481.501.1.pdf" Type="http://schemas.openxmlformats.org/officeDocument/2006/relationships/hyperlink" Id="rId24"/>
    <Relationship TargetMode="External" Target="https://www.legis.iowa.gov/docs/ico/chapter/154B.3.pdf" Type="http://schemas.openxmlformats.org/officeDocument/2006/relationships/hyperlink" Id="rId25"/>
    <Relationship TargetMode="External" Target="https://www.legis.iowa.gov/docs/iac/rule/481.507.16.pdf" Type="http://schemas.openxmlformats.org/officeDocument/2006/relationships/hyperlink" Id="rId26"/>
    <Relationship TargetMode="External" Target="https://www.legis.iowa.gov/docs/iac/rule/481.886.2.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35B.16.pdf" Type="http://schemas.openxmlformats.org/officeDocument/2006/relationships/hyperlink" Id="rId29"/>
    <Relationship TargetMode="External" Target="https://www.legis.iowa.gov/docs/iac/rule/481.500.14.pdf" Type="http://schemas.openxmlformats.org/officeDocument/2006/relationships/hyperlink" Id="rId30"/>
    <Relationship TargetMode="External" Target="https://www.legis.iowa.gov/docs/iac/rule/481.507.16.pdf" Type="http://schemas.openxmlformats.org/officeDocument/2006/relationships/hyperlink" Id="rId31"/>
    <Relationship TargetMode="External" Target="https://www.legis.iowa.gov/docs/ico/chapter/147.83.pdf" Type="http://schemas.openxmlformats.org/officeDocument/2006/relationships/hyperlink" Id="rId32"/>
    <Relationship TargetMode="External" Target="https://www.legis.iowa.gov/docs/ico/chapter/147.86.pdf" Type="http://schemas.openxmlformats.org/officeDocument/2006/relationships/hyperlink" Id="rId33"/>
    <Relationship TargetMode="External" Target="https://www.legis.iowa.gov/docs/iac/chapter/481.507.pdf" Type="http://schemas.openxmlformats.org/officeDocument/2006/relationships/hyperlink" Id="rId34"/>
    <Relationship TargetMode="External" Target="https://www.legis.iowa.gov/docs/iac/rule/481.506.31.pdf" Type="http://schemas.openxmlformats.org/officeDocument/2006/relationships/hyperlink" Id="rId35"/>
    <Relationship TargetMode="External" Target="https://www.legis.iowa.gov/docs/iac/rule/481.885.14.pdf" Type="http://schemas.openxmlformats.org/officeDocument/2006/relationships/hyperlink" Id="rId36"/>
    <Relationship TargetMode="External" Target="https://www.legis.iowa.gov/docs/iac/rule/645.240.3.pdf" Type="http://schemas.openxmlformats.org/officeDocument/2006/relationships/hyperlink" Id="rId37"/>
    <Relationship TargetMode="External" Target="https://www.legis.iowa.gov/docs/iac/rule/481.885.6.pdf" Type="http://schemas.openxmlformats.org/officeDocument/2006/relationships/hyperlink" Id="rId38"/>
    <Relationship TargetMode="External" Target="https://www.legis.iowa.gov/docs/iac/rule/481.885.6.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47.pdf" Type="http://schemas.openxmlformats.org/officeDocument/2006/relationships/hyperlink" Id="rId41"/>
    <Relationship TargetMode="External" Target="https://www.legis.iowa.gov/docs/ico/chapter/272C.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