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844</w:t>
      </w:r>
    </w:p>
    <w:p>
      <w:pPr>
        <w:spacing w:before="0" w:after="0"/>
        <w:ind w:left="120"/>
        <w:jc w:val="center"/>
      </w:pPr>
      <w:r>
        <w:rPr>
          <w:rFonts w:ascii="Times New Roman" w:hAnsi="Times New Roman"/>
          <w:b w:val="false"/>
          <w:i w:val="false"/>
          <w:color w:val="000000"/>
          <w:sz w:val="21"/>
        </w:rPr>
        <w:t>CONTINUING EDUCATION FOR CHIROPRACTIC PHYSICIANS</w:t>
      </w:r>
    </w:p>
    <w:p>
      <w:pPr>
        <w:spacing w:before="0" w:after="0"/>
        <w:ind w:left="120"/>
        <w:jc w:val="center"/>
      </w:pPr>
      <w:r>
        <w:rPr>
          <w:rFonts w:ascii="Times New Roman" w:hAnsi="Times New Roman"/>
          <w:b w:val="false"/>
          <w:i w:val="false"/>
          <w:color w:val="000000"/>
          <w:sz w:val="14"/>
        </w:rPr>
        <w:t>[Prior to 7/24/02, see 645—Ch 43]</w:t>
      </w:r>
    </w:p>
    <w:p>
      <w:pPr>
        <w:spacing w:before="0" w:after="0"/>
        <w:ind w:left="120"/>
        <w:jc w:val="center"/>
      </w:pPr>
      <w:r>
        <w:rPr>
          <w:rFonts w:ascii="Times New Roman" w:hAnsi="Times New Roman"/>
          <w:b w:val="false"/>
          <w:i w:val="false"/>
          <w:color w:val="000000"/>
          <w:sz w:val="14"/>
        </w:rPr>
        <w:t>[Prior to 9/18/24, see Professional Licensure Division[645] Ch 44]</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6/19/29</w:t>
      </w:r>
    </w:p>
    <w:p>
      <w:pPr>
        <w:spacing w:before="0" w:after="0"/>
        <w:ind w:left="120"/>
        <w:jc w:val="both"/>
      </w:pPr>
      <w:r>
        <w:rPr>
          <w:rFonts w:ascii="Times New Roman" w:hAnsi="Times New Roman"/>
          <w:b/>
          <w:i w:val="false"/>
          <w:color w:val="000000"/>
          <w:sz w:val="22"/>
        </w:rPr>
        <w:t>481—844.1</w:t>
      </w:r>
      <w:r>
        <w:rPr>
          <w:rFonts w:ascii="Times New Roman" w:hAnsi="Times New Roman"/>
          <w:b/>
          <w:i w:val="false"/>
          <w:color w:val="000000"/>
          <w:sz w:val="22"/>
        </w:rPr>
        <w:t xml:space="preserve">(151) </w:t>
      </w:r>
      <w:r>
        <w:rPr>
          <w:rFonts w:ascii="Times New Roman" w:hAnsi="Times New Roman"/>
          <w:b/>
          <w:i w:val="false"/>
          <w:color w:val="000000"/>
          <w:sz w:val="22"/>
        </w:rPr>
        <w:t xml:space="preserve">Definitions. </w:t>
      </w:r>
      <w:r>
        <w:rPr>
          <w:rFonts w:ascii="Times New Roman" w:hAnsi="Times New Roman"/>
          <w:b w:val="false"/>
          <w:i w:val="false"/>
          <w:color w:val="000000"/>
          <w:sz w:val="22"/>
        </w:rPr>
        <w:t>For the purpose of these rules, the following definitions will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“Active license” </w:t>
      </w:r>
      <w:r>
        <w:rPr>
          <w:rFonts w:ascii="Times New Roman" w:hAnsi="Times New Roman"/>
          <w:b w:val="false"/>
          <w:i w:val="false"/>
          <w:color w:val="000000"/>
          <w:sz w:val="22"/>
        </w:rPr>
        <w:t>means a license that is current and has not expired.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“Audit” </w:t>
      </w:r>
      <w:r>
        <w:rPr>
          <w:rFonts w:ascii="Times New Roman" w:hAnsi="Times New Roman"/>
          <w:b w:val="false"/>
          <w:i w:val="false"/>
          <w:color w:val="000000"/>
          <w:sz w:val="22"/>
        </w:rPr>
        <w:t>means the selection of licensees for verification of satisfactory completion of continuing education requirements during a specified time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“Board” </w:t>
      </w:r>
      <w:r>
        <w:rPr>
          <w:rFonts w:ascii="Times New Roman" w:hAnsi="Times New Roman"/>
          <w:b w:val="false"/>
          <w:i w:val="false"/>
          <w:color w:val="000000"/>
          <w:sz w:val="22"/>
        </w:rPr>
        <w:t>means the Iowa board of chiropractic.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“Clinical case management” </w:t>
      </w:r>
      <w:r>
        <w:rPr>
          <w:rFonts w:ascii="Times New Roman" w:hAnsi="Times New Roman"/>
          <w:b w:val="false"/>
          <w:i w:val="false"/>
          <w:color w:val="000000"/>
          <w:sz w:val="22"/>
        </w:rPr>
        <w:t>means coursework pertaining to diagnosis, treatment, and appropriate referral or coordination of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“Continuing education” </w:t>
      </w:r>
      <w:r>
        <w:rPr>
          <w:rFonts w:ascii="Times New Roman" w:hAnsi="Times New Roman"/>
          <w:b w:val="false"/>
          <w:i w:val="false"/>
          <w:color w:val="000000"/>
          <w:sz w:val="22"/>
        </w:rPr>
        <w:t>means planned, organized learning acts meeting the standards set forth in these rules, acquired during licensure, and designed to maintain, improve, or expand a licensee’s knowledge and skills in order for the licensee to develop new knowledge and skills relevant to the enhancement of chiropractic practice, education, or theory development to improve the safety and welfare of the public.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“Hour of continuing education” </w:t>
      </w:r>
      <w:r>
        <w:rPr>
          <w:rFonts w:ascii="Times New Roman" w:hAnsi="Times New Roman"/>
          <w:b w:val="false"/>
          <w:i w:val="false"/>
          <w:color w:val="000000"/>
          <w:sz w:val="22"/>
        </w:rPr>
        <w:t>means at least 50 minutes spent by a licensee in actual attendance at and completion of an approved continuing education activity.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“Inactive license” </w:t>
      </w:r>
      <w:r>
        <w:rPr>
          <w:rFonts w:ascii="Times New Roman" w:hAnsi="Times New Roman"/>
          <w:b w:val="false"/>
          <w:i w:val="false"/>
          <w:color w:val="000000"/>
          <w:sz w:val="22"/>
        </w:rPr>
        <w:t>means a license that has expired because it was not renewed by the end of the grace period. The category of “inactive license” may include licenses formerly known as lapsed, inactive, delinquent, closed, or retired.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“Independent study” </w:t>
      </w:r>
      <w:r>
        <w:rPr>
          <w:rFonts w:ascii="Times New Roman" w:hAnsi="Times New Roman"/>
          <w:b w:val="false"/>
          <w:i w:val="false"/>
          <w:color w:val="000000"/>
          <w:sz w:val="22"/>
        </w:rPr>
        <w:t>means a subject/program/activity that a person pursues autonomously that meets standards for approval criteria in the rules and includes a posttest and certificate of completion.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“License” </w:t>
      </w:r>
      <w:r>
        <w:rPr>
          <w:rFonts w:ascii="Times New Roman" w:hAnsi="Times New Roman"/>
          <w:b w:val="false"/>
          <w:i w:val="false"/>
          <w:color w:val="000000"/>
          <w:sz w:val="22"/>
        </w:rPr>
        <w:t>means license to practice chiropractic in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“Licensee” </w:t>
      </w:r>
      <w:r>
        <w:rPr>
          <w:rFonts w:ascii="Times New Roman" w:hAnsi="Times New Roman"/>
          <w:b w:val="false"/>
          <w:i w:val="false"/>
          <w:color w:val="000000"/>
          <w:sz w:val="22"/>
        </w:rPr>
        <w:t>means any person licensed to practice as a chiropractic physician in Iowa.</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7969C</w:t>
      </w:r>
      <w:r>
        <w:rPr>
          <w:rFonts w:ascii="Times New Roman" w:hAnsi="Times New Roman"/>
          <w:b w:val="false"/>
          <w:i w:val="false"/>
          <w:color w:val="000000"/>
          <w:sz w:val="16"/>
        </w:rPr>
        <w:t>, IAB 5/15/24, effective 6/19/24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481—844.2</w:t>
      </w:r>
      <w:r>
        <w:rPr>
          <w:rFonts w:ascii="Times New Roman" w:hAnsi="Times New Roman"/>
          <w:b/>
          <w:i w:val="false"/>
          <w:color w:val="000000"/>
          <w:sz w:val="22"/>
        </w:rPr>
        <w:t xml:space="preserve">(272C) </w:t>
      </w:r>
      <w:r>
        <w:rPr>
          <w:rFonts w:ascii="Times New Roman" w:hAnsi="Times New Roman"/>
          <w:b/>
          <w:i w:val="false"/>
          <w:color w:val="000000"/>
          <w:sz w:val="22"/>
        </w:rPr>
        <w:t xml:space="preserve">Continuing education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844.2(1)</w:t>
      </w:r>
      <w:r>
        <w:rPr>
          <w:rFonts w:ascii="Times New Roman" w:hAnsi="Times New Roman"/>
          <w:b w:val="false"/>
          <w:i w:val="false"/>
          <w:color w:val="000000"/>
          <w:sz w:val="22"/>
        </w:rPr>
        <w:t> </w:t>
      </w:r>
      <w:r>
        <w:rPr>
          <w:rFonts w:ascii="Times New Roman" w:hAnsi="Times New Roman"/>
          <w:b w:val="false"/>
          <w:i w:val="false"/>
          <w:color w:val="000000"/>
          <w:sz w:val="22"/>
        </w:rPr>
        <w:t>The biennial continuing education compliance period extends for a two-year period beginning on July 1 of each even-numbered year and ending on June 30 of each even-numbered year two years later.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844.2(2)</w:t>
      </w:r>
      <w:r>
        <w:rPr>
          <w:rFonts w:ascii="Times New Roman" w:hAnsi="Times New Roman"/>
          <w:b w:val="false"/>
          <w:i w:val="false"/>
          <w:color w:val="000000"/>
          <w:sz w:val="22"/>
        </w:rPr>
        <w:t> </w:t>
      </w:r>
      <w:r>
        <w:rPr>
          <w:rFonts w:ascii="Times New Roman" w:hAnsi="Times New Roman"/>
          <w:b w:val="false"/>
          <w:i w:val="false"/>
          <w:color w:val="000000"/>
          <w:sz w:val="22"/>
        </w:rPr>
        <w:t xml:space="preserve">Requirements of new licensees. Continuing education is not required in the first renewal period with the exception of two hours in the content areas of 481—Chapters 841 through 846 and Iowa Code chapter </w:t>
      </w:r>
      <w:hyperlink r:id="rId5">
        <w:r>
          <w:rPr>
            <w:rStyle w:val="Hyperlink"/>
            <w:rFonts w:ascii="Times New Roman" w:hAnsi="Times New Roman"/>
            <w:b w:val="false"/>
            <w:i w:val="false"/>
            <w:color w:val="000000"/>
            <w:sz w:val="22"/>
          </w:rPr>
          <w:t>151</w:t>
        </w:r>
      </w:hyperlink>
      <w:r>
        <w:rPr>
          <w:rFonts w:ascii="Times New Roman" w:hAnsi="Times New Roman"/>
          <w:b w:val="false"/>
          <w:i w:val="false"/>
          <w:color w:val="000000"/>
          <w:sz w:val="22"/>
        </w:rPr>
        <w:t xml:space="preserve">. Continuing education hours acquired any time from the initial licensing until the second license renewal, with the exception of two hours in the content areas of 481—Chapters 841 through 846 and Iowa Code chapter </w:t>
      </w:r>
      <w:hyperlink r:id="rId6">
        <w:r>
          <w:rPr>
            <w:rStyle w:val="Hyperlink"/>
            <w:rFonts w:ascii="Times New Roman" w:hAnsi="Times New Roman"/>
            <w:b w:val="false"/>
            <w:i w:val="false"/>
            <w:color w:val="000000"/>
            <w:sz w:val="22"/>
          </w:rPr>
          <w:t>151</w:t>
        </w:r>
      </w:hyperlink>
      <w:r>
        <w:rPr>
          <w:rFonts w:ascii="Times New Roman" w:hAnsi="Times New Roman"/>
          <w:b w:val="false"/>
          <w:i w:val="false"/>
          <w:color w:val="000000"/>
          <w:sz w:val="22"/>
        </w:rPr>
        <w:t>, may be used after the first renewal period. The new licensee will be required to complete a minimum of 40 hours of continuing education per biennium for each subsequent license renewal.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844.2(3)</w:t>
      </w:r>
      <w:r>
        <w:rPr>
          <w:rFonts w:ascii="Times New Roman" w:hAnsi="Times New Roman"/>
          <w:b w:val="false"/>
          <w:i w:val="false"/>
          <w:color w:val="000000"/>
          <w:sz w:val="22"/>
        </w:rPr>
        <w:t> </w:t>
      </w:r>
      <w:r>
        <w:rPr>
          <w:rFonts w:ascii="Times New Roman" w:hAnsi="Times New Roman"/>
          <w:b w:val="false"/>
          <w:i w:val="false"/>
          <w:color w:val="000000"/>
          <w:sz w:val="22"/>
        </w:rPr>
        <w:t>Hours of continuing education credit will be obtained by attending and participating in a continuing education activity as stipulated in 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844.2(4)</w:t>
      </w:r>
      <w:r>
        <w:rPr>
          <w:rFonts w:ascii="Times New Roman" w:hAnsi="Times New Roman"/>
          <w:b w:val="false"/>
          <w:i w:val="false"/>
          <w:color w:val="000000"/>
          <w:sz w:val="22"/>
        </w:rPr>
        <w:t> </w:t>
      </w:r>
      <w:r>
        <w:rPr>
          <w:rFonts w:ascii="Times New Roman" w:hAnsi="Times New Roman"/>
          <w:b w:val="false"/>
          <w:i w:val="false"/>
          <w:color w:val="000000"/>
          <w:sz w:val="22"/>
        </w:rPr>
        <w:t xml:space="preserve">No hours of continuing education will be carried over into the next biennium except as stated in subrule </w:t>
      </w:r>
      <w:r>
        <w:rPr>
          <w:rFonts w:ascii="Times New Roman" w:hAnsi="Times New Roman"/>
          <w:b w:val="false"/>
          <w:i w:val="false"/>
          <w:color w:val="000000"/>
          <w:sz w:val="22"/>
        </w:rPr>
        <w:t>844.2(2)</w:t>
      </w:r>
      <w:r>
        <w:rPr>
          <w:rFonts w:ascii="Times New Roman" w:hAnsi="Times New Roman"/>
          <w:b w:val="false"/>
          <w:i w:val="false"/>
          <w:color w:val="000000"/>
          <w:sz w:val="22"/>
        </w:rPr>
        <w:t xml:space="preserve"> and subparagraph </w:t>
      </w:r>
      <w:r>
        <w:rPr>
          <w:rFonts w:ascii="Times New Roman" w:hAnsi="Times New Roman"/>
          <w:b w:val="false"/>
          <w:i w:val="false"/>
          <w:color w:val="000000"/>
          <w:sz w:val="22"/>
        </w:rPr>
        <w:t>844.3(2)</w:t>
      </w:r>
      <w:r>
        <w:rPr>
          <w:rFonts w:ascii="Times New Roman" w:hAnsi="Times New Roman"/>
          <w:b w:val="false"/>
          <w:i/>
          <w:color w:val="000000"/>
          <w:sz w:val="22"/>
        </w:rPr>
        <w:t>“a”</w:t>
      </w:r>
      <w:r>
        <w:rPr>
          <w:rFonts w:ascii="Times New Roman" w:hAnsi="Times New Roman"/>
          <w:b w:val="false"/>
          <w:i w:val="false"/>
          <w:color w:val="000000"/>
          <w:sz w:val="22"/>
        </w:rPr>
        <w:t>(3). A licensee whose license is reactivated during the current renewal compliance period may use continuing education earned during the compliance period for the first renewal following reactivation.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844.2(5)</w:t>
      </w:r>
      <w:r>
        <w:rPr>
          <w:rFonts w:ascii="Times New Roman" w:hAnsi="Times New Roman"/>
          <w:b w:val="false"/>
          <w:i w:val="false"/>
          <w:color w:val="000000"/>
          <w:sz w:val="22"/>
        </w:rPr>
        <w:t> </w:t>
      </w:r>
      <w:r>
        <w:rPr>
          <w:rFonts w:ascii="Times New Roman" w:hAnsi="Times New Roman"/>
          <w:b w:val="false"/>
          <w:i w:val="false"/>
          <w:color w:val="000000"/>
          <w:sz w:val="22"/>
        </w:rPr>
        <w:t>It is the responsibility of each licensee to finance the cost of continuing education.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7969C</w:t>
      </w:r>
      <w:r>
        <w:rPr>
          <w:rFonts w:ascii="Times New Roman" w:hAnsi="Times New Roman"/>
          <w:b w:val="false"/>
          <w:i w:val="false"/>
          <w:color w:val="000000"/>
          <w:sz w:val="16"/>
        </w:rPr>
        <w:t>, IAB 5/15/24, effective 6/19/24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481—844.3</w:t>
      </w:r>
      <w:r>
        <w:rPr>
          <w:rFonts w:ascii="Times New Roman" w:hAnsi="Times New Roman"/>
          <w:b/>
          <w:i w:val="false"/>
          <w:color w:val="000000"/>
          <w:sz w:val="22"/>
        </w:rPr>
        <w:t xml:space="preserve">(151,272C) </w:t>
      </w:r>
      <w:r>
        <w:rPr>
          <w:rFonts w:ascii="Times New Roman" w:hAnsi="Times New Roman"/>
          <w:b/>
          <w:i w:val="false"/>
          <w:color w:val="000000"/>
          <w:sz w:val="22"/>
        </w:rPr>
        <w:t xml:space="preserve">Standards.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844.3(1)</w:t>
      </w:r>
      <w:r>
        <w:rPr>
          <w:rFonts w:ascii="Times New Roman" w:hAnsi="Times New Roman"/>
          <w:b w:val="false"/>
          <w:i w:val="false"/>
          <w:color w:val="000000"/>
          <w:sz w:val="22"/>
        </w:rPr>
        <w:t> </w:t>
      </w:r>
      <w:r>
        <w:rPr>
          <w:rFonts w:ascii="Times New Roman" w:hAnsi="Times New Roman"/>
          <w:b w:val="false"/>
          <w:i/>
          <w:color w:val="000000"/>
          <w:sz w:val="22"/>
        </w:rPr>
        <w:t xml:space="preserve">General criteria. </w:t>
      </w:r>
      <w:r>
        <w:rPr>
          <w:rFonts w:ascii="Times New Roman" w:hAnsi="Times New Roman"/>
          <w:b w:val="false"/>
          <w:i w:val="false"/>
          <w:color w:val="000000"/>
          <w:sz w:val="22"/>
        </w:rPr>
        <w:t>A continuing education activity must meet the following criteria: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Constitute an organized program of learning that contributes directly to the professional competency of the licensee;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Pertain to subject matters that integrally relate to the practice of the profession;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Be conducted by individuals who have specialized education, training and experience concerning the subject matter of the program. At the time of audit, the board may request the qualifications of presenters;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Fulfill stated program goals, objectives, or both;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Provide proof of attendance to licensees in attendance including: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Date(s), location, course title, presenter(s);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Number of program clock hours;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Certificate of completion or evidence of successful completion of the course provided by the course sponsor.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844.3(2)</w:t>
      </w:r>
      <w:r>
        <w:rPr>
          <w:rFonts w:ascii="Times New Roman" w:hAnsi="Times New Roman"/>
          <w:b w:val="false"/>
          <w:i w:val="false"/>
          <w:color w:val="000000"/>
          <w:sz w:val="22"/>
        </w:rPr>
        <w:t> </w:t>
      </w:r>
      <w:r>
        <w:rPr>
          <w:rFonts w:ascii="Times New Roman" w:hAnsi="Times New Roman"/>
          <w:b w:val="false"/>
          <w:i/>
          <w:color w:val="000000"/>
          <w:sz w:val="22"/>
        </w:rPr>
        <w:t xml:space="preserve">Specific criteria.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Continuing education hours of credit will be obtained by completing: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At least 36 hours of continuing education credit obtained from a program that directly relates to clinical case management of chiropractic patients. At least 20 of these hours will be earned by completing a program in which an instructor conducts the class by employing a traditional in-person, classroom-type presentation and the licensee is in attendance in the same room as that instructor. The remaining 16 hours of continuing education credit relating to clinical case management of chiropractic patients may be obtained by independent study, including any online instruction, that complies with conditions specified in subrule </w:t>
      </w:r>
      <w:r>
        <w:rPr>
          <w:rFonts w:ascii="Times New Roman" w:hAnsi="Times New Roman"/>
          <w:b w:val="false"/>
          <w:i w:val="false"/>
          <w:color w:val="000000"/>
          <w:sz w:val="22"/>
        </w:rPr>
        <w:t>844.3(1)</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minimum of two hours per biennium in professional boundaries regarding ethical issues related to professional conduct that may include but are not limited to sexual harassment, sensitivity training and ethics.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minimum of 12 hours per biennium of continuing education in the field of acupuncture is required for licensees certified in acupuncture and may be used toward clinical case management if the chiropractic physician is actively engaged in the practice of acupuncture. Chiropractic physicians not engaged in the active practice of acupuncture may take continuing education hours in the field of acupuncture for continuing education credit.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Classes on child abuse and dependent adult abuse that meet the criteria in 481—subrules </w:t>
      </w:r>
      <w:hyperlink r:id="rId7">
        <w:r>
          <w:rPr>
            <w:rStyle w:val="Hyperlink"/>
            <w:rFonts w:ascii="Times New Roman" w:hAnsi="Times New Roman"/>
            <w:b w:val="false"/>
            <w:i w:val="false"/>
            <w:color w:val="000000"/>
            <w:sz w:val="22"/>
          </w:rPr>
          <w:t>841.8(4)</w:t>
        </w:r>
      </w:hyperlink>
      <w:r>
        <w:rPr>
          <w:rFonts w:ascii="Times New Roman" w:hAnsi="Times New Roman"/>
          <w:b w:val="false"/>
          <w:i w:val="false"/>
          <w:color w:val="000000"/>
          <w:sz w:val="22"/>
        </w:rPr>
        <w:t xml:space="preserve"> and </w:t>
      </w:r>
      <w:hyperlink r:id="rId8">
        <w:r>
          <w:rPr>
            <w:rStyle w:val="Hyperlink"/>
            <w:rFonts w:ascii="Times New Roman" w:hAnsi="Times New Roman"/>
            <w:b w:val="false"/>
            <w:i w:val="false"/>
            <w:color w:val="000000"/>
            <w:sz w:val="22"/>
          </w:rPr>
          <w:t>844.3(1)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Two hours of continuing education credit is required in the first biennial renewal period and one hour every biennial renewal period after that in the content areas of the administrative rules related to chiropractic physicians in Iowa, found at 481—Chapters 841 through 846 and the statutory provisions specific to the practice of chiropractic in Iowa Code chapter </w:t>
      </w:r>
      <w:hyperlink r:id="rId9">
        <w:r>
          <w:rPr>
            <w:rStyle w:val="Hyperlink"/>
            <w:rFonts w:ascii="Times New Roman" w:hAnsi="Times New Roman"/>
            <w:b w:val="false"/>
            <w:i w:val="false"/>
            <w:color w:val="000000"/>
            <w:sz w:val="22"/>
          </w:rPr>
          <w:t>151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Continuing education hours of credit may be obtained by: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Teaching at a Council on Chiropractic Education (CCE)-approved program or board of chiropractic-approved institution. A maximum of 15 hours per biennium may be obtained for each course taught.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Completing electronically transmitted programs/activities or independent study programs/activities that have a certificate of completion.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Presenting a continuing education program once per biennium for the initial presentation of the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Completing a program provided by a CCE-accredited chiropractic college in the United States, the Iowa Chiropractic Society, American Chiropractic Association or International Chiropractors Association.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Completing continuing education courses/programs that are certified by the Providers of Approved Continuing Education (PACE) through the Federation of Chiropractic Licensing Boards (FCLB).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Proctoring at the NBCE examination. Fifteen hours of continuing education hours per NBCE examination event may be claimed up to a maximum of 30 hours of continuing education credit per biennium. The proctoring hours may apply toward the clinical requirement.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Continuing education may not be obtained by completing or teaching classes in basic anatomy and physiology or undergraduate level coursework.</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844.3(3)</w:t>
      </w:r>
      <w:r>
        <w:rPr>
          <w:rFonts w:ascii="Times New Roman" w:hAnsi="Times New Roman"/>
          <w:b w:val="false"/>
          <w:i w:val="false"/>
          <w:color w:val="000000"/>
          <w:sz w:val="22"/>
        </w:rPr>
        <w:t> </w:t>
      </w:r>
      <w:r>
        <w:rPr>
          <w:rFonts w:ascii="Times New Roman" w:hAnsi="Times New Roman"/>
          <w:b w:val="false"/>
          <w:i/>
          <w:color w:val="000000"/>
          <w:sz w:val="22"/>
        </w:rPr>
        <w:t xml:space="preserve">Specific criteria for presenters. </w:t>
      </w:r>
      <w:r>
        <w:rPr>
          <w:rFonts w:ascii="Times New Roman" w:hAnsi="Times New Roman"/>
          <w:b w:val="false"/>
          <w:i w:val="false"/>
          <w:color w:val="000000"/>
          <w:sz w:val="22"/>
        </w:rPr>
        <w:t>All instructors/presenters of a continuing education activity must include, as part of the continuing education activity, verbal and written statements to the participants regarding any affiliations or employment relationships with any entity promoting, developing or marketing products, services, procedures or treatment methods.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7969C</w:t>
      </w:r>
      <w:r>
        <w:rPr>
          <w:rFonts w:ascii="Times New Roman" w:hAnsi="Times New Roman"/>
          <w:b w:val="false"/>
          <w:i w:val="false"/>
          <w:color w:val="000000"/>
          <w:sz w:val="16"/>
        </w:rPr>
        <w:t>, IAB 5/15/24, effective 6/19/24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section </w:t>
      </w:r>
      <w:hyperlink r:id="rId10">
        <w:r>
          <w:rPr>
            <w:rStyle w:val="Hyperlink"/>
            <w:rFonts w:ascii="Times New Roman" w:hAnsi="Times New Roman"/>
            <w:b w:val="false"/>
            <w:i w:val="false"/>
            <w:color w:val="000000"/>
            <w:sz w:val="22"/>
          </w:rPr>
          <w:t>272C.2</w:t>
        </w:r>
      </w:hyperlink>
      <w:r>
        <w:rPr>
          <w:rFonts w:ascii="Times New Roman" w:hAnsi="Times New Roman"/>
          <w:b w:val="false"/>
          <w:i w:val="false"/>
          <w:color w:val="000000"/>
          <w:sz w:val="22"/>
        </w:rPr>
        <w:t xml:space="preserve"> and chapter </w:t>
      </w:r>
      <w:hyperlink r:id="rId11">
        <w:r>
          <w:rPr>
            <w:rStyle w:val="Hyperlink"/>
            <w:rFonts w:ascii="Times New Roman" w:hAnsi="Times New Roman"/>
            <w:b w:val="false"/>
            <w:i w:val="false"/>
            <w:color w:val="000000"/>
            <w:sz w:val="22"/>
          </w:rPr>
          <w:t>151</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12/8/00, Notice 10/18/00—published 12/27/00, effective 1/31/01]</w:t>
      </w:r>
      <w:r>
        <w:rPr>
          <w:rFonts w:ascii="Times New Roman" w:hAnsi="Times New Roman"/>
          <w:b w:val="false"/>
          <w:i w:val="false"/>
          <w:color w:val="000000"/>
          <w:sz w:val="10"/>
        </w:rPr>
        <w:t>1</w:t>
      </w:r>
    </w:p>
    <w:p>
      <w:pPr>
        <w:spacing w:before="0" w:after="0"/>
        <w:ind w:left="120"/>
        <w:jc w:val="center"/>
      </w:pPr>
      <w:r>
        <w:rPr>
          <w:rFonts w:ascii="Times New Roman" w:hAnsi="Times New Roman"/>
          <w:b w:val="false"/>
          <w:i w:val="false"/>
          <w:color w:val="000000"/>
          <w:sz w:val="21"/>
        </w:rPr>
        <w:t>[Filed 7/3/02, Notice 5/1/02—published 7/24/02, effective 8/28/02]</w:t>
      </w:r>
    </w:p>
    <w:p>
      <w:pPr>
        <w:spacing w:before="0" w:after="0"/>
        <w:ind w:left="120"/>
        <w:jc w:val="center"/>
      </w:pPr>
      <w:r>
        <w:rPr>
          <w:rFonts w:ascii="Times New Roman" w:hAnsi="Times New Roman"/>
          <w:b w:val="false"/>
          <w:i w:val="false"/>
          <w:color w:val="000000"/>
          <w:sz w:val="21"/>
        </w:rPr>
        <w:t>[Filed 11/6/03, Notice 7/23/03—published 11/26/03, effective 12/31/03]</w:t>
      </w:r>
    </w:p>
    <w:p>
      <w:pPr>
        <w:spacing w:before="0" w:after="0"/>
        <w:ind w:left="120"/>
        <w:jc w:val="center"/>
      </w:pPr>
      <w:r>
        <w:rPr>
          <w:rFonts w:ascii="Times New Roman" w:hAnsi="Times New Roman"/>
          <w:b w:val="false"/>
          <w:i w:val="false"/>
          <w:color w:val="000000"/>
          <w:sz w:val="21"/>
        </w:rPr>
        <w:t>[Filed emergency 5/14/04—published 6/9/04, effective 5/14/04]</w:t>
      </w:r>
    </w:p>
    <w:p>
      <w:pPr>
        <w:spacing w:before="0" w:after="0"/>
        <w:ind w:left="120"/>
        <w:jc w:val="center"/>
      </w:pPr>
      <w:r>
        <w:rPr>
          <w:rFonts w:ascii="Times New Roman" w:hAnsi="Times New Roman"/>
          <w:b w:val="false"/>
          <w:i w:val="false"/>
          <w:color w:val="000000"/>
          <w:sz w:val="21"/>
        </w:rPr>
        <w:t>[Filed 7/14/05, Notice 5/25/05—published 8/3/05, effective 9/7/05]</w:t>
      </w:r>
      <w:r>
        <w:rPr>
          <w:rFonts w:ascii="Times New Roman" w:hAnsi="Times New Roman"/>
          <w:b w:val="false"/>
          <w:i w:val="false"/>
          <w:color w:val="000000"/>
          <w:sz w:val="14"/>
        </w:rPr>
        <w:t>◊</w:t>
      </w:r>
    </w:p>
    <w:p>
      <w:pPr>
        <w:spacing w:before="0" w:after="0"/>
        <w:ind w:left="120"/>
        <w:jc w:val="center"/>
      </w:pPr>
      <w:r>
        <w:rPr>
          <w:rFonts w:ascii="Times New Roman" w:hAnsi="Times New Roman"/>
          <w:b w:val="false"/>
          <w:i w:val="false"/>
          <w:color w:val="000000"/>
          <w:sz w:val="21"/>
        </w:rPr>
        <w:t>[Filed 1/27/06, Notice 11/9/05—published 2/15/06, effective 3/22/06]</w:t>
      </w:r>
    </w:p>
    <w:p>
      <w:pPr>
        <w:spacing w:before="0" w:after="0"/>
        <w:ind w:left="120"/>
        <w:jc w:val="center"/>
      </w:pPr>
      <w:r>
        <w:rPr>
          <w:rFonts w:ascii="Times New Roman" w:hAnsi="Times New Roman"/>
          <w:b w:val="false"/>
          <w:i w:val="false"/>
          <w:color w:val="000000"/>
          <w:sz w:val="21"/>
        </w:rPr>
        <w:t>[Filed 4/13/06, Notice 2/15/06—published 5/10/06, effective 6/14/06]</w:t>
      </w:r>
    </w:p>
    <w:p>
      <w:pPr>
        <w:spacing w:before="0" w:after="0"/>
        <w:ind w:left="120"/>
        <w:jc w:val="center"/>
      </w:pPr>
      <w:r>
        <w:rPr>
          <w:rFonts w:ascii="Times New Roman" w:hAnsi="Times New Roman"/>
          <w:b w:val="false"/>
          <w:i w:val="false"/>
          <w:color w:val="000000"/>
          <w:sz w:val="21"/>
        </w:rPr>
        <w:t>[Filed 1/28/08, Notice 11/7/07—published 2/27/08, effective 4/2/08]</w:t>
      </w:r>
    </w:p>
    <w:p>
      <w:pPr>
        <w:spacing w:before="0" w:after="0"/>
        <w:ind w:left="120"/>
        <w:jc w:val="center"/>
      </w:pPr>
      <w:r>
        <w:rPr>
          <w:rFonts w:ascii="Times New Roman" w:hAnsi="Times New Roman"/>
          <w:b w:val="false"/>
          <w:i w:val="false"/>
          <w:color w:val="000000"/>
          <w:sz w:val="21"/>
        </w:rPr>
        <w:t xml:space="preserve">[Filed </w:t>
      </w:r>
      <w:r>
        <w:rPr>
          <w:rFonts w:ascii="Times New Roman" w:hAnsi="Times New Roman"/>
          <w:b w:val="false"/>
          <w:i w:val="false"/>
          <w:color w:val="000000"/>
          <w:sz w:val="21"/>
        </w:rPr>
        <w:t>7/17/08</w:t>
      </w:r>
      <w:r>
        <w:rPr>
          <w:rFonts w:ascii="Times New Roman" w:hAnsi="Times New Roman"/>
          <w:b w:val="false"/>
          <w:i w:val="false"/>
          <w:color w:val="000000"/>
          <w:sz w:val="21"/>
        </w:rPr>
        <w:t xml:space="preserve">, Notice </w:t>
      </w:r>
      <w:r>
        <w:rPr>
          <w:rFonts w:ascii="Times New Roman" w:hAnsi="Times New Roman"/>
          <w:b w:val="false"/>
          <w:i w:val="false"/>
          <w:color w:val="000000"/>
          <w:sz w:val="21"/>
        </w:rPr>
        <w:t>5/7/08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8/13/08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9/17/08</w:t>
      </w:r>
      <w:r>
        <w:rPr>
          <w:rFonts w:ascii="Times New Roman" w:hAnsi="Times New Roman"/>
          <w:b w:val="false"/>
          <w:i w:val="false"/>
          <w:color w:val="000000"/>
          <w:sz w:val="21"/>
        </w:rPr>
        <w:t>]</w:t>
      </w:r>
      <w:r>
        <w:rPr>
          <w:rFonts w:ascii="Times New Roman" w:hAnsi="Times New Roman"/>
          <w:b w:val="false"/>
          <w:i w:val="false"/>
          <w:color w:val="000000"/>
          <w:sz w:val="14"/>
        </w:rPr>
        <w:t>◊</w:t>
      </w:r>
    </w:p>
    <w:p>
      <w:pPr>
        <w:spacing w:before="0" w:after="0"/>
        <w:ind w:left="120"/>
        <w:jc w:val="center"/>
      </w:pPr>
      <w:r>
        <w:rPr>
          <w:rFonts w:ascii="Times New Roman" w:hAnsi="Times New Roman"/>
          <w:b w:val="false"/>
          <w:i w:val="false"/>
          <w:color w:val="000000"/>
          <w:sz w:val="21"/>
        </w:rPr>
        <w:t>[Filed ARC 9109B</w:t>
      </w:r>
      <w:r>
        <w:rPr>
          <w:rFonts w:ascii="Times New Roman" w:hAnsi="Times New Roman"/>
          <w:b w:val="false"/>
          <w:i w:val="false"/>
          <w:color w:val="000000"/>
          <w:sz w:val="21"/>
        </w:rPr>
        <w:t xml:space="preserve"> (Notice ARC 8782B, IAB 6/2/10)</w:t>
      </w:r>
      <w:r>
        <w:rPr>
          <w:rFonts w:ascii="Times New Roman" w:hAnsi="Times New Roman"/>
          <w:b w:val="false"/>
          <w:i w:val="false"/>
          <w:color w:val="000000"/>
          <w:sz w:val="21"/>
        </w:rPr>
        <w:t>, IAB 10/6/10, effective 11/10/10]</w:t>
      </w:r>
    </w:p>
    <w:p>
      <w:pPr>
        <w:spacing w:before="0" w:after="0"/>
        <w:ind w:left="120"/>
        <w:jc w:val="center"/>
      </w:pPr>
      <w:r>
        <w:rPr>
          <w:rFonts w:ascii="Times New Roman" w:hAnsi="Times New Roman"/>
          <w:b w:val="false"/>
          <w:i w:val="false"/>
          <w:color w:val="000000"/>
          <w:sz w:val="21"/>
        </w:rPr>
        <w:t>[Filed ARC 0211C</w:t>
      </w:r>
      <w:r>
        <w:rPr>
          <w:rFonts w:ascii="Times New Roman" w:hAnsi="Times New Roman"/>
          <w:b w:val="false"/>
          <w:i w:val="false"/>
          <w:color w:val="000000"/>
          <w:sz w:val="21"/>
        </w:rPr>
        <w:t xml:space="preserve"> (Notice ARC 0010C, IAB 2/22/12)</w:t>
      </w:r>
      <w:r>
        <w:rPr>
          <w:rFonts w:ascii="Times New Roman" w:hAnsi="Times New Roman"/>
          <w:b w:val="false"/>
          <w:i w:val="false"/>
          <w:color w:val="000000"/>
          <w:sz w:val="21"/>
        </w:rPr>
        <w:t>, IAB 7/25/12, effective 8/29/12]</w:t>
      </w:r>
    </w:p>
    <w:p>
      <w:pPr>
        <w:spacing w:before="0" w:after="0"/>
        <w:ind w:left="120"/>
        <w:jc w:val="center"/>
      </w:pPr>
      <w:r>
        <w:rPr>
          <w:rFonts w:ascii="Times New Roman" w:hAnsi="Times New Roman"/>
          <w:b w:val="false"/>
          <w:i w:val="false"/>
          <w:color w:val="000000"/>
          <w:sz w:val="21"/>
        </w:rPr>
        <w:t>[Filed ARC 1201C</w:t>
      </w:r>
      <w:r>
        <w:rPr>
          <w:rFonts w:ascii="Times New Roman" w:hAnsi="Times New Roman"/>
          <w:b w:val="false"/>
          <w:i w:val="false"/>
          <w:color w:val="000000"/>
          <w:sz w:val="21"/>
        </w:rPr>
        <w:t xml:space="preserve"> (Notice ARC 1012C, IAB 9/18/13)</w:t>
      </w:r>
      <w:r>
        <w:rPr>
          <w:rFonts w:ascii="Times New Roman" w:hAnsi="Times New Roman"/>
          <w:b w:val="false"/>
          <w:i w:val="false"/>
          <w:color w:val="000000"/>
          <w:sz w:val="21"/>
        </w:rPr>
        <w:t>, IAB 12/11/13, effective 1/15/14]</w:t>
      </w:r>
    </w:p>
    <w:p>
      <w:pPr>
        <w:spacing w:before="0" w:after="0"/>
        <w:ind w:left="120"/>
        <w:jc w:val="center"/>
      </w:pPr>
      <w:r>
        <w:rPr>
          <w:rFonts w:ascii="Times New Roman" w:hAnsi="Times New Roman"/>
          <w:b w:val="false"/>
          <w:i w:val="false"/>
          <w:color w:val="000000"/>
          <w:sz w:val="21"/>
        </w:rPr>
        <w:t>[Filed ARC 2202C</w:t>
      </w:r>
      <w:r>
        <w:rPr>
          <w:rFonts w:ascii="Times New Roman" w:hAnsi="Times New Roman"/>
          <w:b w:val="false"/>
          <w:i w:val="false"/>
          <w:color w:val="000000"/>
          <w:sz w:val="21"/>
        </w:rPr>
        <w:t xml:space="preserve"> (Notice ARC 2094C, IAB 8/5/15)</w:t>
      </w:r>
      <w:r>
        <w:rPr>
          <w:rFonts w:ascii="Times New Roman" w:hAnsi="Times New Roman"/>
          <w:b w:val="false"/>
          <w:i w:val="false"/>
          <w:color w:val="000000"/>
          <w:sz w:val="21"/>
        </w:rPr>
        <w:t>, IAB 10/14/15, effective 11/18/15]</w:t>
      </w:r>
    </w:p>
    <w:p>
      <w:pPr>
        <w:spacing w:before="0" w:after="0"/>
        <w:ind w:left="120"/>
        <w:jc w:val="center"/>
      </w:pPr>
      <w:r>
        <w:rPr>
          <w:rFonts w:ascii="Times New Roman" w:hAnsi="Times New Roman"/>
          <w:b w:val="false"/>
          <w:i w:val="false"/>
          <w:color w:val="000000"/>
          <w:sz w:val="21"/>
        </w:rPr>
        <w:t>[Filed ARC 3962C</w:t>
      </w:r>
      <w:r>
        <w:rPr>
          <w:rFonts w:ascii="Times New Roman" w:hAnsi="Times New Roman"/>
          <w:b w:val="false"/>
          <w:i w:val="false"/>
          <w:color w:val="000000"/>
          <w:sz w:val="21"/>
        </w:rPr>
        <w:t xml:space="preserve"> (Notice ARC 3774C, IAB 5/9/18)</w:t>
      </w:r>
      <w:r>
        <w:rPr>
          <w:rFonts w:ascii="Times New Roman" w:hAnsi="Times New Roman"/>
          <w:b w:val="false"/>
          <w:i w:val="false"/>
          <w:color w:val="000000"/>
          <w:sz w:val="21"/>
        </w:rPr>
        <w:t>, IAB 8/15/18, effective 9/19/18]</w:t>
      </w:r>
    </w:p>
    <w:p>
      <w:pPr>
        <w:spacing w:before="0" w:after="0"/>
        <w:ind w:left="120"/>
        <w:jc w:val="center"/>
      </w:pPr>
      <w:r>
        <w:rPr>
          <w:rFonts w:ascii="Times New Roman" w:hAnsi="Times New Roman"/>
          <w:b w:val="false"/>
          <w:i w:val="false"/>
          <w:color w:val="000000"/>
          <w:sz w:val="21"/>
        </w:rPr>
        <w:t>[Filed ARC 7969C</w:t>
      </w:r>
      <w:r>
        <w:rPr>
          <w:rFonts w:ascii="Times New Roman" w:hAnsi="Times New Roman"/>
          <w:b w:val="false"/>
          <w:i w:val="false"/>
          <w:color w:val="000000"/>
          <w:sz w:val="21"/>
        </w:rPr>
        <w:t xml:space="preserve"> (Notice ARC 7466C, IAB 1/10/24)</w:t>
      </w:r>
      <w:r>
        <w:rPr>
          <w:rFonts w:ascii="Times New Roman" w:hAnsi="Times New Roman"/>
          <w:b w:val="false"/>
          <w:i w:val="false"/>
          <w:color w:val="000000"/>
          <w:sz w:val="21"/>
        </w:rPr>
        <w:t>, IAB 5/15/24, effective 6/19/24]</w:t>
      </w:r>
    </w:p>
    <w:p>
      <w:pPr>
        <w:spacing w:before="0" w:after="0"/>
        <w:ind w:left="120"/>
        <w:jc w:val="center"/>
      </w:pPr>
      <w:r>
        <w:rPr>
          <w:rFonts w:ascii="Times New Roman" w:hAnsi="Times New Roman"/>
          <w:b w:val="false"/>
          <w:i w:val="false"/>
          <w:color w:val="000000"/>
          <w:sz w:val="21"/>
        </w:rPr>
        <w:t>[Editorial change: IAC Supplement 9/18/24]</w:t>
      </w:r>
    </w:p>
    <w:p>
      <w:pPr>
        <w:pBdr>
          <w:bottom w:space="2"/>
        </w:pBdr>
        <w:spacing w:before="0" w:after="0"/>
        <w:ind w:left="120"/>
        <w:jc w:val="both"/>
      </w:pPr>
      <w:r>
        <w:rPr>
          <w:rFonts w:ascii="Times New Roman" w:hAnsi="Times New Roman"/>
          <w:b w:val="false"/>
          <w:i w:val="false"/>
          <w:color w:val="000000"/>
          <w:sz w:val="22"/>
        </w:rPr>
        <w:t>Two or more ARCs</w:t>
      </w:r>
    </w:p>
    <w:p>
      <w:pPr>
        <w:pBdr>
          <w:bottom w:space="2"/>
        </w:pBdr>
        <w:spacing w:before="0" w:after="0"/>
        <w:ind w:left="120"/>
        <w:jc w:val="both"/>
      </w:pPr>
      <w:r>
        <w:rPr>
          <w:rFonts w:ascii="Times New Roman" w:hAnsi="Times New Roman"/>
          <w:b w:val="false"/>
          <w:i w:val="false"/>
          <w:color w:val="000000"/>
          <w:sz w:val="22"/>
        </w:rPr>
        <w:t>Effective date delayed 70 days by the Administrative Rules Review Committee at its meeting held January 29, 2001; delay lifted by the committee at its meeting held February 9, 2001, effective 2/10/01.</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151.pdf" Type="http://schemas.openxmlformats.org/officeDocument/2006/relationships/hyperlink" Id="rId5"/>
    <Relationship TargetMode="External" Target="https://www.legis.iowa.gov/docs/ico/chapter/151.pdf" Type="http://schemas.openxmlformats.org/officeDocument/2006/relationships/hyperlink" Id="rId6"/>
    <Relationship TargetMode="External" Target="https://www.legis.iowa.gov/docs/iac/rule/481.841.8.pdf" Type="http://schemas.openxmlformats.org/officeDocument/2006/relationships/hyperlink" Id="rId7"/>
    <Relationship TargetMode="External" Target="https://www.legis.iowa.gov/docs/iac/rule/481.844.3.pdf" Type="http://schemas.openxmlformats.org/officeDocument/2006/relationships/hyperlink" Id="rId8"/>
    <Relationship TargetMode="External" Target="https://www.legis.iowa.gov/docs/ico/chapter/151.pdf" Type="http://schemas.openxmlformats.org/officeDocument/2006/relationships/hyperlink" Id="rId9"/>
    <Relationship TargetMode="External" Target="https://www.legis.iowa.gov/docs/ico/chapter/272C.2.pdf" Type="http://schemas.openxmlformats.org/officeDocument/2006/relationships/hyperlink" Id="rId10"/>
    <Relationship TargetMode="External" Target="https://www.legis.iowa.gov/docs/ico/chapter/151.pdf" Type="http://schemas.openxmlformats.org/officeDocument/2006/relationships/hyperlink" Id="rId11"/>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