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805</w:t>
      </w:r>
    </w:p>
    <w:p>
      <w:pPr>
        <w:spacing w:before="0" w:after="0"/>
        <w:ind w:left="120"/>
        <w:jc w:val="center"/>
      </w:pPr>
      <w:r>
        <w:rPr>
          <w:rFonts w:ascii="Times New Roman" w:hAnsi="Times New Roman"/>
          <w:b w:val="false"/>
          <w:i w:val="false"/>
          <w:color w:val="000000"/>
          <w:sz w:val="21"/>
        </w:rPr>
        <w:t>CONTINUING EDUCATION FOR OCCUPATIONAL THERAPISTS</w:t>
      </w:r>
      <w:r>
        <w:br/>
      </w:r>
      <w:r>
        <w:rPr>
          <w:rFonts w:ascii="Times New Roman" w:hAnsi="Times New Roman"/>
          <w:b w:val="false"/>
          <w:i w:val="false"/>
          <w:color w:val="000000"/>
          <w:sz w:val="21"/>
        </w:rPr>
        <w:t>AND OCCUPATIONAL THERAPY ASSISTANTS</w:t>
      </w:r>
    </w:p>
    <w:p>
      <w:pPr>
        <w:spacing w:before="0" w:after="0"/>
        <w:ind w:left="120"/>
        <w:jc w:val="center"/>
      </w:pPr>
      <w:r>
        <w:rPr>
          <w:rFonts w:ascii="Times New Roman" w:hAnsi="Times New Roman"/>
          <w:b w:val="false"/>
          <w:i w:val="false"/>
          <w:color w:val="000000"/>
          <w:sz w:val="14"/>
        </w:rPr>
        <w:t>[Prior to 9/18/24, see Professional Licensure Division[645] Ch 207]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481—805.1</w:t>
      </w:r>
      <w:r>
        <w:rPr>
          <w:rFonts w:ascii="Times New Roman" w:hAnsi="Times New Roman"/>
          <w:b/>
          <w:i w:val="false"/>
          <w:color w:val="000000"/>
          <w:sz w:val="22"/>
        </w:rPr>
        <w:t xml:space="preserve">(148B)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compliance with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and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occupational therapist or occupational therapy assistant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481—805.2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extend for a two-year period that begins on the sixteenth day of the licensee’s birth month and ends two years later on the fifteenth day of the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Requirements for occupational therapist licensees. Each biennium, each person who is licensed to practice as an occupational therapist in this state will have the responsibility to finance the cost and be required to complete a minimum of 30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for occupational therapy assistant licensees. Each biennium, each person who is licensed to practice as an occupational therapy assistant in this state will be required to complete a minimum of 15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be required to complete a minimum of 30 hours of continuing education per biennium for occupational therapists and 15 hours for occupational therapy assistants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805.2(3)</w:t>
      </w:r>
      <w:r>
        <w:rPr>
          <w:rFonts w:ascii="Times New Roman" w:hAnsi="Times New Roman"/>
          <w:b w:val="false"/>
          <w:i w:val="false"/>
          <w:color w:val="000000"/>
          <w:sz w:val="22"/>
        </w:rPr>
        <w:t> </w:t>
      </w:r>
      <w:r>
        <w:rPr>
          <w:rFonts w:ascii="Times New Roman" w:hAnsi="Times New Roman"/>
          <w:b w:val="false"/>
          <w:i w:val="false"/>
          <w:color w:val="000000"/>
          <w:sz w:val="22"/>
        </w:rPr>
        <w:t>With the exception of continuing education hours obtained by new licensees, no hours of continuing education shall be carried over into the next biennium. 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481—805.3</w:t>
      </w:r>
      <w:r>
        <w:rPr>
          <w:rFonts w:ascii="Times New Roman" w:hAnsi="Times New Roman"/>
          <w:b/>
          <w:i w:val="false"/>
          <w:color w:val="000000"/>
          <w:sz w:val="22"/>
        </w:rPr>
        <w:t xml:space="preserve">(148B,272C)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Appropriate continuing education activity for purposes of license renewal will support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Attending workshops, conferences, or symposiums.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Directly supervising students for clinical education if the student being supervised is from an accredited occupational therapy or occupational therapy assistant program and is participating in a full-time clinical experience (defined as approximately 40 hours per week, ranging from 1 to 18 weeks). One hour will be awarded for every 160 contact hours of supervision. A maximum of 8 hours for an occupational therapist and 4 hours for an occupational therapy assistant may be awarded per biennium. The occupational therapist or occupational therapy assistant must have documentation from the accredited educational program indicating the number of hours spent supervising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rule. Two hours of credit will be awarded for each hour of presentation for the first offering of the course.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occupational therapy will be necessary in order for the licensee to receive the following continuing education credits:</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10 continuing education hours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the following continuing education credits on a one-time basis for the first offering of a course:</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Authoring research or other activities, the results of which are published in a recognized professional publication. The licensee shall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Participating in professional organizations related to the practice of occupational therapy, with one credit hour received for each six months of active service as an officer, delegate, or committee member, for a maximum of four hours of credit per biennium. Verification of participation must be provided by the professional organization to document the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in the following topics are not considered to be directly and primarily related to the clinical application of occupational therapy and therefore must not exceed a maximum combined total of eight hours of credit for an occupational therapist licensee and four hours of credit for an occupational therapy assistant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Business-related topics, such as marketing, time management, government regulations,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skills topics, such as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 health topics, such as clinical research, CPR, mandatory reporter training, and other like topics.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11/9/00, Notice 7/26/00—published 11/29/00, effective 1/3/01]</w:t>
      </w:r>
    </w:p>
    <w:p>
      <w:pPr>
        <w:spacing w:before="0" w:after="0"/>
        <w:ind w:left="120"/>
        <w:jc w:val="center"/>
      </w:pPr>
      <w:r>
        <w:rPr>
          <w:rFonts w:ascii="Times New Roman" w:hAnsi="Times New Roman"/>
          <w:b w:val="false"/>
          <w:i w:val="false"/>
          <w:color w:val="000000"/>
          <w:sz w:val="21"/>
        </w:rPr>
        <w:t>[Filed 2/14/02, Notice 10/3/01—published 3/6/02, effective 4/10/02]</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1659C</w:t>
      </w:r>
      <w:r>
        <w:rPr>
          <w:rFonts w:ascii="Times New Roman" w:hAnsi="Times New Roman"/>
          <w:b w:val="false"/>
          <w:i w:val="false"/>
          <w:color w:val="000000"/>
          <w:sz w:val="21"/>
        </w:rPr>
        <w:t xml:space="preserve"> (Notice ARC 1559C, IAB 7/23/14)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7983C</w:t>
      </w:r>
      <w:r>
        <w:rPr>
          <w:rFonts w:ascii="Times New Roman" w:hAnsi="Times New Roman"/>
          <w:b w:val="false"/>
          <w:i w:val="false"/>
          <w:color w:val="000000"/>
          <w:sz w:val="21"/>
        </w:rPr>
        <w:t xml:space="preserve"> (Notice ARC 7550C,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48B.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