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804</w:t>
      </w:r>
    </w:p>
    <w:p>
      <w:pPr>
        <w:spacing w:before="0" w:after="0"/>
        <w:ind w:left="120"/>
        <w:jc w:val="center"/>
      </w:pPr>
      <w:r>
        <w:rPr>
          <w:rFonts w:ascii="Times New Roman" w:hAnsi="Times New Roman"/>
          <w:b w:val="false"/>
          <w:i w:val="false"/>
          <w:color w:val="000000"/>
          <w:sz w:val="21"/>
        </w:rPr>
        <w:t>LICENSURE OF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3/6/02, see 645—201.3(147,148B,272C) to 645—201.7(147) and 645—201.9(272C)]</w:t>
      </w:r>
    </w:p>
    <w:p>
      <w:pPr>
        <w:spacing w:before="0" w:after="0"/>
        <w:ind w:left="120"/>
        <w:jc w:val="center"/>
      </w:pPr>
      <w:r>
        <w:rPr>
          <w:rFonts w:ascii="Times New Roman" w:hAnsi="Times New Roman"/>
          <w:b w:val="false"/>
          <w:i w:val="false"/>
          <w:color w:val="000000"/>
          <w:sz w:val="14"/>
        </w:rPr>
        <w:t>[Prior to 9/18/24, see Professional Licensure Division[645] Ch 206]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481—804.1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the issuance of an Iowa license to practice occupational therapy to an applicant who is currently licensed in another state who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occupational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examination” </w:t>
      </w:r>
      <w:r>
        <w:rPr>
          <w:rFonts w:ascii="Times New Roman" w:hAnsi="Times New Roman"/>
          <w:b w:val="false"/>
          <w:i w:val="false"/>
          <w:color w:val="000000"/>
          <w:sz w:val="22"/>
        </w:rPr>
        <w:t>means the examination administered by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as required in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“NBCOT” </w:t>
      </w:r>
      <w:r>
        <w:rPr>
          <w:rFonts w:ascii="Times New Roman" w:hAnsi="Times New Roman"/>
          <w:b w:val="false"/>
          <w:i w:val="false"/>
          <w:color w:val="000000"/>
          <w:sz w:val="22"/>
        </w:rPr>
        <w:t>means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means a person licensed under this chapter to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means a person licensed under this chapter to assist in the practice of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practice” </w:t>
      </w:r>
      <w:r>
        <w:rPr>
          <w:rFonts w:ascii="Times New Roman" w:hAnsi="Times New Roman"/>
          <w:b w:val="false"/>
          <w:i w:val="false"/>
          <w:color w:val="000000"/>
          <w:sz w:val="22"/>
        </w:rPr>
        <w:t>means the therapeutic use of occupations, including everyday life activities with individuals, groups, populations, or organizations, to support participation, performance, and function in roles and situations in home, school, workplace, community, and other settings. Occupational therapy services are provided for habilitation, rehabilitation, and the promotion of health and wellness to those who have or are at risk for developing an illness, injury, disease, disorder, condition, impairment, disability, activity limitation, or participation restriction. Occupational therapy addresses the physical, cognitive, psychosocial, sensory-perceptual, and other aspects of performance in a variety of contexts and environments to support engagement in occupations that affect physical and mental health, well-being, and quality of life. The practice of occupational therapy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factors affecting activities of daily living (ADL), instrumental activities of daily living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factors, including body functions (such as neuromusculoskeletal, sensory-perceptual, visual, mental, cognitive, and pain factors) and body structures (such as cardiovascular, digestive, nervous, integumentary, genitourinary systems, and structures related to movement) and values, beliefs, and spirituality.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Habits, routines, roles, rituals, and behavior patterns.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and social environments; cultural, personal, temporal and virtual contexts; and activity demands that affect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Performance skills, including motor and praxis, sensory-perceptual, emotional regulation, cognitive, communication and social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or approaches selected to direct the process of interventions,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a skill or ability that has not yet developed or remediation or restoration of a skill or ability that is impaired or is in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Compensation, modification, or adaptation of activity or environment to enhance performance or to prevent injuries, disorders, or other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Retention and enhancement of skills or abilities without which performance in everyday life activities would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Promotion of health and wellness, including the use of self-management strategies, to enable or enhance performance in everyday life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barriers to performance and participation, including injury and disability prevention.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Interventions and procedures to promote or enhance safety and performance in ADL,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occupations, exercises, and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in self-care, self-management, health management and maintenance, home management, community/work reintegration, and school activities and work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remediation, or compensation of neuromusculoskeletal, sensory-perceptual, visual, mental, and cognitive functions, pain tolerance and management, and behavioral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self, including one’s personality, insights, perceptions, and judgments, as part of the therapeutic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 and training of individuals, including family members, caregivers, groups, populations, and others.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coordination, case management, and transition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Consultative services to groups, programs, organizations, or communities.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Modification of environments (home, work, school, or community) and adaptation of processes, including the application of ergonomic principles.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design, fabrication, application, fitting, and training in seating and positioning, assistive technology, adaptive devices, and orthotic devices, and training in the use of prosthetic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recommendation, and training in techniques to enhance functional mobility, including management of wheelchairs and other mobility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vision rehabilitation.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Driver rehabilitation and community 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Management of feeding, eating, and swallowing to enable eating and feeding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Application of physical agent modalities and use of a range of specific therapeutic procedures (such as wound care management, interventions to enhance sensory-perceptual and cognitive processing, and manual therapy) to enhance performance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Facilitating the occupational performance of groups, populations, or organizations through the modification of environments and the adaptation of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screening” </w:t>
      </w:r>
      <w:r>
        <w:rPr>
          <w:rFonts w:ascii="Times New Roman" w:hAnsi="Times New Roman"/>
          <w:b w:val="false"/>
          <w:i w:val="false"/>
          <w:color w:val="000000"/>
          <w:sz w:val="22"/>
        </w:rPr>
        <w:t>means a brief process that is directed by an occupational therapist in order for the occupational therapist to render a decision as to whether the individual warrants further, in-depth evaluation and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the medical and social history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Observations related by that individual’s caregivers;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Observations or nonstandardized tests, or both, administered to an individual by the occupational therapist or an occupational therapy assistant under the direction of the occupational therapist.</w:t>
      </w:r>
    </w:p>
    <w:p>
      <w:pPr>
        <w:spacing w:before="0" w:after="0"/>
        <w:ind w:left="120"/>
        <w:jc w:val="both"/>
      </w:pPr>
      <w:r>
        <w:rPr>
          <w:rFonts w:ascii="Times New Roman" w:hAnsi="Times New Roman"/>
          <w:b w:val="false"/>
          <w:i w:val="false"/>
          <w:color w:val="000000"/>
          <w:sz w:val="22"/>
        </w:rPr>
        <w:t>Nothing in this definition shall be construed to prohibit licensed occupational therapists and occupational therapy assistants who work in preschools or school settings from providing short-term interventions to children prior to an evaluation, not to exceed 16 sessions per concern per school year, in accordance with state and federal educational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the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 </w:t>
      </w:r>
      <w:r>
        <w:rPr>
          <w:rFonts w:ascii="Times New Roman" w:hAnsi="Times New Roman"/>
          <w:b w:val="false"/>
          <w:i w:val="false"/>
          <w:color w:val="000000"/>
          <w:sz w:val="22"/>
        </w:rPr>
        <w:t>means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“OTA” </w:t>
      </w:r>
      <w:r>
        <w:rPr>
          <w:rFonts w:ascii="Times New Roman" w:hAnsi="Times New Roman"/>
          <w:b w:val="false"/>
          <w:i w:val="false"/>
          <w:color w:val="000000"/>
          <w:sz w:val="22"/>
        </w:rPr>
        <w:t>means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occupational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shall apply to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9">
        <w:r>
          <w:rPr>
            <w:rStyle w:val="Hyperlink"/>
            <w:rFonts w:ascii="Times New Roman" w:hAnsi="Times New Roman"/>
            <w:b w:val="false"/>
            <w:i w:val="false"/>
            <w:color w:val="000000"/>
            <w:sz w:val="22"/>
          </w:rPr>
          <w:t>481—507.11</w:t>
        </w:r>
      </w:hyperlink>
      <w:r>
        <w:rPr>
          <w:rFonts w:ascii="Times New Roman" w:hAnsi="Times New Roman"/>
          <w:b w:val="false"/>
          <w:i w:val="false"/>
          <w:color w:val="000000"/>
          <w:sz w:val="22"/>
        </w:rPr>
        <w:t>(147,148B).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804.2(2)</w:t>
      </w:r>
      <w:r>
        <w:rPr>
          <w:rFonts w:ascii="Times New Roman" w:hAnsi="Times New Roman"/>
          <w:b w:val="false"/>
          <w:i w:val="false"/>
          <w:color w:val="000000"/>
          <w:sz w:val="22"/>
        </w:rPr>
        <w:t> </w:t>
      </w:r>
      <w:r>
        <w:rPr>
          <w:rFonts w:ascii="Times New Roman" w:hAnsi="Times New Roman"/>
          <w:b w:val="false"/>
          <w:i w:val="false"/>
          <w:color w:val="000000"/>
          <w:sz w:val="22"/>
        </w:rPr>
        <w:t>Submit an official copy of academic transcripts directly from the school to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804.2(3)</w:t>
      </w:r>
      <w:r>
        <w:rPr>
          <w:rFonts w:ascii="Times New Roman" w:hAnsi="Times New Roman"/>
          <w:b w:val="false"/>
          <w:i w:val="false"/>
          <w:color w:val="000000"/>
          <w:sz w:val="22"/>
        </w:rPr>
        <w:t> </w:t>
      </w:r>
      <w:r>
        <w:rPr>
          <w:rFonts w:ascii="Times New Roman" w:hAnsi="Times New Roman"/>
          <w:b w:val="false"/>
          <w:i w:val="false"/>
          <w:color w:val="000000"/>
          <w:sz w:val="22"/>
        </w:rPr>
        <w:t>Direct the examination service to submit examination scores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804.2(4)</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license(s) from every jurisdiction in which the applicant has been licensed, sent directly from the jurisdiction(s) to the board office.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481—804.3</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 xml:space="preserve">An occupational therapist or occupational therapy assistant applicant who holds a license in another state shall complete requirements in rule </w:t>
      </w:r>
      <w:hyperlink r:id="rId10">
        <w:r>
          <w:rPr>
            <w:rStyle w:val="Hyperlink"/>
            <w:rFonts w:ascii="Times New Roman" w:hAnsi="Times New Roman"/>
            <w:b w:val="false"/>
            <w:i w:val="false"/>
            <w:color w:val="000000"/>
            <w:sz w:val="22"/>
          </w:rPr>
          <w:t>481—804.2</w:t>
        </w:r>
      </w:hyperlink>
      <w:r>
        <w:rPr>
          <w:rFonts w:ascii="Times New Roman" w:hAnsi="Times New Roman"/>
          <w:b w:val="false"/>
          <w:i w:val="false"/>
          <w:color w:val="000000"/>
          <w:sz w:val="22"/>
        </w:rPr>
        <w:t xml:space="preserve">(147) and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804.3(1)</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30 hours for an occupational therapist and 15 hours for an occupational therapy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804.3(2)</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804.3(3)</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occupational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804.3(4)</w:t>
      </w:r>
      <w:r>
        <w:rPr>
          <w:rFonts w:ascii="Times New Roman" w:hAnsi="Times New Roman"/>
          <w:b w:val="false"/>
          <w:i w:val="false"/>
          <w:color w:val="000000"/>
          <w:sz w:val="22"/>
        </w:rPr>
        <w:t> </w:t>
      </w:r>
      <w:r>
        <w:rPr>
          <w:rFonts w:ascii="Times New Roman" w:hAnsi="Times New Roman"/>
          <w:b w:val="false"/>
          <w:i w:val="false"/>
          <w:color w:val="000000"/>
          <w:sz w:val="22"/>
        </w:rPr>
        <w:t>Successfully passing the examination within a period of two years from the date of examination to the time application is completed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481—804.4</w:t>
      </w:r>
      <w:r>
        <w:rPr>
          <w:rFonts w:ascii="Times New Roman" w:hAnsi="Times New Roman"/>
          <w:b/>
          <w:i w:val="false"/>
          <w:color w:val="000000"/>
          <w:sz w:val="22"/>
        </w:rPr>
        <w:t xml:space="preserve">(147) </w:t>
      </w:r>
      <w:r>
        <w:rPr>
          <w:rFonts w:ascii="Times New Roman" w:hAnsi="Times New Roman"/>
          <w:b/>
          <w:i w:val="false"/>
          <w:color w:val="000000"/>
          <w:sz w:val="22"/>
        </w:rPr>
        <w:t xml:space="preserve">Limited permit to practice pending licensure. </w:t>
      </w:r>
      <w:r>
        <w:rPr>
          <w:rFonts w:ascii="Times New Roman" w:hAnsi="Times New Roman"/>
          <w:b w:val="false"/>
          <w:i w:val="false"/>
          <w:color w:val="000000"/>
          <w:sz w:val="22"/>
        </w:rPr>
        <w:t>A limited permit holder who is applying for licensure in Iowa by taking the licensure examination for the first time and has never been licensed as an occupational therapist or occupational therapy assistant in any state, the District of Columbia, or another country must have completed the educational and experience requirements for licensure as an occupational therapist or occupational therapy assistant. The limited permit holder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arrangements to take the examination and have the official results of the examination sent directly from the examination service to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 for licensure on forms provided by the board. The applicant must include on the application form the name of the Iowa-licensed occupational therapist(s) who will provide supervision of the limited permit holder until the limited permit holder is licensed;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 only under the supervision of an Iowa-licensed OT for a period not to exceed six months from the date the application was received in the board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to the board the name of the OT providing supervision within seven days after a change in supervision occurs;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applicant fails the national examination, cease practicing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481—804.5</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804.5(1)</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therapist shall have received a passing score on the licensure examination for occupational therapists. It is the responsibility of the applicant to make arrangements to take the examination and have the official results submitted directly from the examination service to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804.5(2)</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therapy assistant shall have received a passing score on the licensure examination for occupational therapy assistants. It is the responsibility of the applicant to make arrangements to take the examination and have the official results submitted directly from the examination service to the board of physical and occupational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481—804.6</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an occupational therapist or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The applicant for licensure as an occupational therapist shall have completed the requirements for a degree in occupational therapy in an occupational therapy program accredited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The applicant for licensure as an occupational therapy assistant shall be a graduate of an educational program approved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804.6(2)</w:t>
      </w:r>
      <w:r>
        <w:rPr>
          <w:rFonts w:ascii="Times New Roman" w:hAnsi="Times New Roman"/>
          <w:b w:val="false"/>
          <w:i w:val="false"/>
          <w:color w:val="000000"/>
          <w:sz w:val="22"/>
        </w:rPr>
        <w:t> </w:t>
      </w:r>
      <w:r>
        <w:rPr>
          <w:rFonts w:ascii="Times New Roman" w:hAnsi="Times New Roman"/>
          <w:b w:val="false"/>
          <w:i w:val="false"/>
          <w:color w:val="000000"/>
          <w:sz w:val="22"/>
        </w:rPr>
        <w:t>Foreign-trained occupational therapists and occupational therapy assistants. To become eligible to take the licensure examination, internationally educated occupational therapists must meet NBCOT eligibility requirements and undergo prescreening based on the status of their occupational therapy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an occupational therapist or occupational therapy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481—805.2</w:t>
        </w:r>
      </w:hyperlink>
      <w:r>
        <w:rPr>
          <w:rFonts w:ascii="Times New Roman" w:hAnsi="Times New Roman"/>
          <w:b w:val="false"/>
          <w:i w:val="false"/>
          <w:color w:val="000000"/>
          <w:sz w:val="22"/>
        </w:rPr>
        <w:t xml:space="preserve">(272C) and the mandatory reporting requirements of rule </w:t>
      </w:r>
      <w:hyperlink r:id="rId12">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A licensee whose license was reactivated during the current renewal compliance period may use continuing education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1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14">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15">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1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an occupational or mental disability or illness as identified in </w:t>
      </w:r>
      <w:hyperlink r:id="rId18">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occupational therapists or occupational therapy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19">
        <w:r>
          <w:rPr>
            <w:rStyle w:val="Hyperlink"/>
            <w:rFonts w:ascii="Times New Roman" w:hAnsi="Times New Roman"/>
            <w:b w:val="false"/>
            <w:i w:val="false"/>
            <w:color w:val="000000"/>
            <w:sz w:val="22"/>
          </w:rPr>
          <w:t>481—subrule 507.11(4)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occupational therapist or occupational therapy assistant in Iowa until the license is reactivated. A licensee who practices as an occupational therapist or occupational therapy assistant in the state of Iowa with an inactive license may be subject to disciplinary action by the board, injunctive action pursuant to Iowa Code section </w:t>
      </w:r>
      <w:hyperlink r:id="rId2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2">
        <w:r>
          <w:rPr>
            <w:rStyle w:val="Hyperlink"/>
            <w:rFonts w:ascii="Times New Roman" w:hAnsi="Times New Roman"/>
            <w:b w:val="false"/>
            <w:i w:val="false"/>
            <w:color w:val="000000"/>
            <w:sz w:val="22"/>
          </w:rPr>
          <w:t>481—subrule 507.11(5)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occupational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15 hours of continuing education for an occupational therapy assistant and 30 hours of continuing education for an occupational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for an occupational therapy assistant and 60 hours of continuing education for an occupational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4">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(17A,147,272C) prior to practicing occupational therapy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5/19/06, Notice 3/29/06—published 6/21/06, effective 7/26/06]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7644B</w:t>
      </w:r>
      <w:r>
        <w:rPr>
          <w:rFonts w:ascii="Times New Roman" w:hAnsi="Times New Roman"/>
          <w:b w:val="false"/>
          <w:i w:val="false"/>
          <w:color w:val="000000"/>
          <w:sz w:val="21"/>
        </w:rPr>
        <w:t xml:space="preserve"> (Notice ARC 7442B,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7982C</w:t>
      </w:r>
      <w:r>
        <w:rPr>
          <w:rFonts w:ascii="Times New Roman" w:hAnsi="Times New Roman"/>
          <w:b w:val="false"/>
          <w:i w:val="false"/>
          <w:color w:val="000000"/>
          <w:sz w:val="21"/>
        </w:rPr>
        <w:t xml:space="preserve"> (Notice ARC 7549C,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481.804.8.pdf" Type="http://schemas.openxmlformats.org/officeDocument/2006/relationships/hyperlink" Id="rId7"/>
    <Relationship TargetMode="External" Target="https://www.legis.iowa.gov/docs/iac/rule/481.506.31.pdf" Type="http://schemas.openxmlformats.org/officeDocument/2006/relationships/hyperlink" Id="rId8"/>
    <Relationship TargetMode="External" Target="https://www.legis.iowa.gov/docs/iac/rule/481.507.11.pdf" Type="http://schemas.openxmlformats.org/officeDocument/2006/relationships/hyperlink" Id="rId9"/>
    <Relationship TargetMode="External" Target="https://www.legis.iowa.gov/docs/iac/rule/481.804.2.pdf" Type="http://schemas.openxmlformats.org/officeDocument/2006/relationships/hyperlink" Id="rId10"/>
    <Relationship TargetMode="External" Target="https://www.legis.iowa.gov/docs/iac/rule/481.805.2.pdf" Type="http://schemas.openxmlformats.org/officeDocument/2006/relationships/hyperlink" Id="rId11"/>
    <Relationship TargetMode="External" Target="https://www.legis.iowa.gov/docs/iac/rule/481.804.9.pdf" Type="http://schemas.openxmlformats.org/officeDocument/2006/relationships/hyperlink" Id="rId12"/>
    <Relationship TargetMode="External" Target="https://www.legis.iowa.gov/docs/ico/chapter/232.69.pdf" Type="http://schemas.openxmlformats.org/officeDocument/2006/relationships/hyperlink" Id="rId13"/>
    <Relationship TargetMode="External" Target="https://www.legis.iowa.gov/docs/ico/chapter/232.69.pdf" Type="http://schemas.openxmlformats.org/officeDocument/2006/relationships/hyperlink" Id="rId14"/>
    <Relationship TargetMode="External" Target="https://www.legis.iowa.gov/docs/ico/chapter/235B.3.pdf" Type="http://schemas.openxmlformats.org/officeDocument/2006/relationships/hyperlink" Id="rId15"/>
    <Relationship TargetMode="External" Target="https://www.legis.iowa.gov/docs/ico/chapter/235E.2.pdf" Type="http://schemas.openxmlformats.org/officeDocument/2006/relationships/hyperlink" Id="rId16"/>
    <Relationship TargetMode="External" Target="https://www.legis.iowa.gov/docs/ico/chapter/235B.16.pdf" Type="http://schemas.openxmlformats.org/officeDocument/2006/relationships/hyperlink" Id="rId17"/>
    <Relationship TargetMode="External" Target="https://www.legis.iowa.gov/docs/iac/chapter/481.500.pdf" Type="http://schemas.openxmlformats.org/officeDocument/2006/relationships/hyperlink" Id="rId18"/>
    <Relationship TargetMode="External" Target="https://www.legis.iowa.gov/docs/iac/rule/481.507.11.pdf" Type="http://schemas.openxmlformats.org/officeDocument/2006/relationships/hyperlink" Id="rId19"/>
    <Relationship TargetMode="External" Target="https://www.legis.iowa.gov/docs/ico/chapter/147.83.pdf" Type="http://schemas.openxmlformats.org/officeDocument/2006/relationships/hyperlink" Id="rId20"/>
    <Relationship TargetMode="External" Target="https://www.legis.iowa.gov/docs/ico/chapter/147.86.pdf" Type="http://schemas.openxmlformats.org/officeDocument/2006/relationships/hyperlink" Id="rId21"/>
    <Relationship TargetMode="External" Target="https://www.legis.iowa.gov/docs/iac/rule/481.507.11.pdf" Type="http://schemas.openxmlformats.org/officeDocument/2006/relationships/hyperlink" Id="rId22"/>
    <Relationship TargetMode="External" Target="https://www.legis.iowa.gov/docs/iac/rule/481.506.31.pdf" Type="http://schemas.openxmlformats.org/officeDocument/2006/relationships/hyperlink" Id="rId23"/>
    <Relationship TargetMode="External" Target="https://www.legis.iowa.gov/docs/iac/rule/481.804.8.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148B.pdf" Type="http://schemas.openxmlformats.org/officeDocument/2006/relationships/hyperlink" Id="rId27"/>
    <Relationship TargetMode="External" Target="https://www.legis.iowa.gov/docs/ico/chapter/272C.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