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PHYSICIAN ASSISTANTS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780</w:t>
      </w:r>
    </w:p>
    <w:p>
      <w:pPr>
        <w:spacing w:before="0" w:after="0"/>
        <w:ind w:left="120"/>
        <w:jc w:val="center"/>
      </w:pPr>
      <w:r>
        <w:rPr>
          <w:rFonts w:ascii="Times New Roman" w:hAnsi="Times New Roman"/>
          <w:b w:val="false"/>
          <w:i w:val="false"/>
          <w:color w:val="000000"/>
          <w:sz w:val="21"/>
        </w:rPr>
        <w:t>LICENSURE OF PHYSICIAN ASSISTANTS</w:t>
      </w:r>
    </w:p>
    <w:p>
      <w:pPr>
        <w:spacing w:before="0" w:after="0"/>
        <w:ind w:left="120"/>
        <w:jc w:val="center"/>
      </w:pPr>
      <w:r>
        <w:rPr>
          <w:rFonts w:ascii="Times New Roman" w:hAnsi="Times New Roman"/>
          <w:b w:val="false"/>
          <w:i w:val="false"/>
          <w:color w:val="000000"/>
          <w:sz w:val="14"/>
        </w:rPr>
        <w:t>[Prior to 8/7/02, see 645—325.2(148C) to 645—325.5(148C) and 645—325.16(148C)]</w:t>
      </w:r>
    </w:p>
    <w:p>
      <w:pPr>
        <w:spacing w:before="0" w:after="0"/>
        <w:ind w:left="120"/>
        <w:jc w:val="center"/>
      </w:pPr>
      <w:r>
        <w:rPr>
          <w:rFonts w:ascii="Times New Roman" w:hAnsi="Times New Roman"/>
          <w:b w:val="false"/>
          <w:i w:val="false"/>
          <w:color w:val="000000"/>
          <w:sz w:val="14"/>
        </w:rPr>
        <w:t>[Prior to 9/18/24, see Professional Licensure Division[645] Ch 326]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481—780.1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 program for the education of physician assistants which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“CME”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means consultation with or referral to the appropriate physician or other health care professional by a physician assistant as indicated by the patient’s condition; the education, competencies, and experience of the physician assistant; and the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“Direction”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by the board as a physician assistant to provide medical services under the supervision of one or more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physician assistant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“Locum tenens” </w:t>
      </w:r>
      <w:r>
        <w:rPr>
          <w:rFonts w:ascii="Times New Roman" w:hAnsi="Times New Roman"/>
          <w:b w:val="false"/>
          <w:i w:val="false"/>
          <w:color w:val="000000"/>
          <w:sz w:val="22"/>
        </w:rPr>
        <w:t>means the temporary substitution of one licensed physician assistant for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training on identifying and reporting child abuse or dependent adult abuse required of physician assistants who are mandatory reporters. The full requirements on mandatory reporting of child abuse and the training requirements are found in Iowa Code section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“NCCPA”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osteopathic medicine and surgery, or osteopathy. A physician supervising a physician assistant practicing in a federal facility or under federal authority shall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means a person licensed as a physician assistant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database”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database” </w:t>
      </w:r>
      <w:r>
        <w:rPr>
          <w:rFonts w:ascii="Times New Roman" w:hAnsi="Times New Roman"/>
          <w:b w:val="false"/>
          <w:i w:val="false"/>
          <w:color w:val="000000"/>
          <w:sz w:val="22"/>
        </w:rPr>
        <w:t xml:space="preserve">means the Iowa prescription monitoring program database administered by the Iowa board of pharmacy pursuant to Iowa Code chapter </w:t>
      </w:r>
      <w:hyperlink r:id="rId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subchapter VI, and </w:t>
      </w:r>
      <w:hyperlink r:id="rId8">
        <w:r>
          <w:rPr>
            <w:rStyle w:val="Hyperlink"/>
            <w:rFonts w:ascii="Times New Roman" w:hAnsi="Times New Roman"/>
            <w:b w:val="false"/>
            <w:i w:val="false"/>
            <w:color w:val="000000"/>
            <w:sz w:val="22"/>
          </w:rPr>
          <w:t>657—Chapter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481—780.19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w:t>
      </w:r>
      <w:hyperlink r:id="rId1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“Remote medical site” </w:t>
      </w:r>
      <w:r>
        <w:rPr>
          <w:rFonts w:ascii="Times New Roman" w:hAnsi="Times New Roman"/>
          <w:b w:val="false"/>
          <w:i w:val="false"/>
          <w:color w:val="000000"/>
          <w:sz w:val="22"/>
        </w:rPr>
        <w:t>means a medical clinic for ambulatory patients which is more than 30 miles away from the main practice location of a supervising physician and in which a supervising physician is present less than 50 percent of the time the site is open. “Remote medical site” does not apply to nursing homes, patient homes, hospital outpatient departments, outreach clinics, or any location at which medical care is incidentally provided, such as a diet center, free clinic, site for athletic physicals, or a jail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physician who supervises the medical services provided by the physician assistant consistent with the physician assistant’s education, training, or experience and who accepts ultimate responsibility for the medical care provided by the physician-physician assistant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means that a supervising physician retains ultimate responsibility for patient care, although a physician need not be physically present at each activity of the physician assistant or be specifically consulted before each delegated task is performed. Supervision shall not be construed as requiring the personal presence of a supervising physician at the place where such services are rendered except insofar as the personal presence is expressly required by these rules or by Iowa Code chapter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“Supply prescription drugs”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4299C</w:t>
      </w:r>
      <w:r>
        <w:rPr>
          <w:rFonts w:ascii="Times New Roman" w:hAnsi="Times New Roman"/>
          <w:b w:val="false"/>
          <w:i w:val="false"/>
          <w:color w:val="000000"/>
          <w:sz w:val="16"/>
        </w:rPr>
        <w:t>, IAB 2/13/19, effective 3/20/19</w:t>
      </w:r>
      <w:r>
        <w:rPr>
          <w:rFonts w:ascii="Times New Roman" w:hAnsi="Times New Roman"/>
          <w:b w:val="false"/>
          <w:i w:val="false"/>
          <w:color w:val="000000"/>
          <w:sz w:val="16"/>
        </w:rPr>
        <w:t xml:space="preserve">; </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w:t>
      </w:r>
      <w:r>
        <w:rPr>
          <w:rFonts w:ascii="Times New Roman" w:hAnsi="Times New Roman"/>
          <w:b/>
          <w:i w:val="false"/>
          <w:color w:val="000000"/>
          <w:sz w:val="22"/>
        </w:rPr>
        <w:t xml:space="preserve">(148C)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complete a board-approved application packet. Application forms may be obtained from the board’s website (</w:t>
      </w:r>
      <w:hyperlink r:id="rId12">
        <w:r>
          <w:rPr>
            <w:rStyle w:val="Hyperlink"/>
            <w:rFonts w:ascii="Times New Roman" w:hAnsi="Times New Roman"/>
            <w:b w:val="false"/>
            <w:i w:val="false"/>
            <w:color w:val="000000"/>
            <w:sz w:val="22"/>
            <w:u w:val="single"/>
          </w:rPr>
          <w:t>www.idph.state.ia.us/licensure</w:t>
        </w:r>
      </w:hyperlink>
      <w:r>
        <w:rPr>
          <w:rFonts w:ascii="Times New Roman" w:hAnsi="Times New Roman"/>
          <w:b w:val="false"/>
          <w:i w:val="false"/>
          <w:color w:val="000000"/>
          <w:sz w:val="22"/>
        </w:rPr>
        <w:t>) or directly from the board office. All applications shall be sent to the Board of Physician Assistants, Professional Licensure Division, Iowa Department of Inspections, Appeals, and Licensing, 6200 Park Avenue, Suite 100, Des Moines, Iowa 50321-1270.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shall complete the application form according to the instructions contained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be accompanied by the appropriate fees payable by check or money order to the Iowa Board of Physician Assistants. The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applicant shall provide official copies of academic transcripts that have been sent to the board directly from an approved program for the education of physician assistants.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An applicant who is not a graduate of an approved program but who passed the NCCPA initial certification examination prior to 1986 is exempt from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a copy of the initial certification from NCCPA, or its successor agency, sent directly to the board from the NCCPA, or its successor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beginning practice, the physician assistant shall notify the board of the identity of the supervising physician(s) on the board-approved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shall not be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780.2(3)</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comply with subrule </w:t>
      </w:r>
      <w:r>
        <w:rPr>
          <w:rFonts w:ascii="Times New Roman" w:hAnsi="Times New Roman"/>
          <w:b w:val="false"/>
          <w:i w:val="false"/>
          <w:color w:val="000000"/>
          <w:sz w:val="22"/>
        </w:rPr>
        <w:t>780.2(1)</w:t>
      </w:r>
      <w:r>
        <w:rPr>
          <w:rFonts w:ascii="Times New Roman" w:hAnsi="Times New Roman"/>
          <w:b w:val="false"/>
          <w:i w:val="false"/>
          <w:color w:val="000000"/>
          <w:sz w:val="22"/>
        </w:rPr>
        <w:t xml:space="preserve">, with the exception of paragraphs </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780.3(3)</w:t>
      </w:r>
      <w:r>
        <w:rPr>
          <w:rFonts w:ascii="Times New Roman" w:hAnsi="Times New Roman"/>
          <w:b w:val="false"/>
          <w:i w:val="false"/>
          <w:color w:val="000000"/>
          <w:sz w:val="22"/>
        </w:rPr>
        <w:t> </w:t>
      </w:r>
      <w:r>
        <w:rPr>
          <w:rFonts w:ascii="Times New Roman" w:hAnsi="Times New Roman"/>
          <w:b w:val="false"/>
          <w:i w:val="false"/>
          <w:color w:val="000000"/>
          <w:sz w:val="22"/>
        </w:rPr>
        <w:t>A temporary license shall be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shall be renewed only once upon the applicant’s showing proof that, through no fault of the applicant, the applicant was unable to take the certification examination recognized by the board. Proof of inability to take the certification examination shall be submitted to the board office with written request for renewal of a temporary license, accompanied by the temporary license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780.3(7)</w:t>
      </w:r>
      <w:r>
        <w:rPr>
          <w:rFonts w:ascii="Times New Roman" w:hAnsi="Times New Roman"/>
          <w:b w:val="false"/>
          <w:i w:val="false"/>
          <w:color w:val="000000"/>
          <w:sz w:val="22"/>
        </w:rPr>
        <w:t> </w:t>
      </w:r>
      <w:r>
        <w:rPr>
          <w:rFonts w:ascii="Times New Roman" w:hAnsi="Times New Roman"/>
          <w:b w:val="false"/>
          <w:i w:val="false"/>
          <w:color w:val="000000"/>
          <w:sz w:val="22"/>
        </w:rPr>
        <w:t>The applicant shall ensure that certification of completion is sent to the board directly from an approved program for the education of physician assistants. The certification of completion must be signed by a designee from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481—780.4</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licensed under the laws of another jurisdiction shall file an application for licensure by endorsement.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780.4(1)</w:t>
      </w:r>
      <w:r>
        <w:rPr>
          <w:rFonts w:ascii="Times New Roman" w:hAnsi="Times New Roman"/>
          <w:b w:val="false"/>
          <w:i w:val="false"/>
          <w:color w:val="000000"/>
          <w:sz w:val="22"/>
        </w:rPr>
        <w:t> </w:t>
      </w:r>
      <w:r>
        <w:rPr>
          <w:rFonts w:ascii="Times New Roman" w:hAnsi="Times New Roman"/>
          <w:b w:val="false"/>
          <w:i w:val="false"/>
          <w:color w:val="000000"/>
          <w:sz w:val="22"/>
        </w:rPr>
        <w:t>Submit to the board a completed application according to the instructions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780.4(2)</w:t>
      </w:r>
      <w:r>
        <w:rPr>
          <w:rFonts w:ascii="Times New Roman" w:hAnsi="Times New Roman"/>
          <w:b w:val="false"/>
          <w:i w:val="false"/>
          <w:color w:val="000000"/>
          <w:sz w:val="22"/>
        </w:rPr>
        <w:t> </w:t>
      </w:r>
      <w:r>
        <w:rPr>
          <w:rFonts w:ascii="Times New Roman" w:hAnsi="Times New Roman"/>
          <w:b w:val="false"/>
          <w:i w:val="false"/>
          <w:color w:val="000000"/>
          <w:sz w:val="22"/>
        </w:rPr>
        <w:t>Pay the nonrefundable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official copy of the transcript sent directly to the board from an approved program for the education of physician assistants or qualify for the exception stated in paragraph </w:t>
      </w:r>
      <w:hyperlink r:id="rId13">
        <w:r>
          <w:rPr>
            <w:rStyle w:val="Hyperlink"/>
            <w:rFonts w:ascii="Times New Roman" w:hAnsi="Times New Roman"/>
            <w:b w:val="false"/>
            <w:i w:val="false"/>
            <w:color w:val="000000"/>
            <w:sz w:val="22"/>
          </w:rPr>
          <w:t>326.2(1)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780.4(4)</w:t>
      </w:r>
      <w:r>
        <w:rPr>
          <w:rFonts w:ascii="Times New Roman" w:hAnsi="Times New Roman"/>
          <w:b w:val="false"/>
          <w:i w:val="false"/>
          <w:color w:val="000000"/>
          <w:sz w:val="22"/>
        </w:rPr>
        <w:t> </w:t>
      </w:r>
      <w:r>
        <w:rPr>
          <w:rFonts w:ascii="Times New Roman" w:hAnsi="Times New Roman"/>
          <w:b w:val="false"/>
          <w:i w:val="false"/>
          <w:color w:val="000000"/>
          <w:sz w:val="22"/>
        </w:rPr>
        <w:t>Provide a copy of the initial certification from NCCPA, or its successor agency, sent directly to the board from the NCCPA, or its successor agency. Additionally, provide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Copy of current certification from the NCCPA, or its successor agency, sent directly to the board from the NCCPA, or its successor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completion of 100 CME hours for each biennium since initial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780.4(6)</w:t>
      </w:r>
      <w:r>
        <w:rPr>
          <w:rFonts w:ascii="Times New Roman" w:hAnsi="Times New Roman"/>
          <w:b w:val="false"/>
          <w:i w:val="false"/>
          <w:color w:val="000000"/>
          <w:sz w:val="22"/>
        </w:rPr>
        <w:t> </w:t>
      </w:r>
      <w:r>
        <w:rPr>
          <w:rFonts w:ascii="Times New Roman" w:hAnsi="Times New Roman"/>
          <w:b w:val="false"/>
          <w:i w:val="false"/>
          <w:color w:val="000000"/>
          <w:sz w:val="22"/>
        </w:rPr>
        <w:t>Prior to beginning practice, the physician assistant shall notify the board of the identity of the supervising physician(s) on the board-approved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780.4(7)</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of licensure by endorsement may apply for licensure by verification, if eligible, in accordance with rule </w:t>
      </w:r>
      <w:hyperlink r:id="rId14">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5752C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6896C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481—780.5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481—780.6</w:t>
      </w:r>
      <w:r>
        <w:rPr>
          <w:rFonts w:ascii="Times New Roman" w:hAnsi="Times New Roman"/>
          <w:b/>
          <w:i w:val="false"/>
          <w:color w:val="000000"/>
          <w:sz w:val="22"/>
        </w:rPr>
        <w:t xml:space="preserve">(148C)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applicant for licensure as a physician assistant shall successfully pass the certifying examination conducted by the National Commission on Certification of Physician Assistants or a successor examination approved by the board of physician assistants.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481—780.7</w:t>
      </w:r>
      <w:r>
        <w:rPr>
          <w:rFonts w:ascii="Times New Roman" w:hAnsi="Times New Roman"/>
          <w:b/>
          <w:i w:val="false"/>
          <w:color w:val="000000"/>
          <w:sz w:val="22"/>
        </w:rPr>
        <w:t xml:space="preserve">(148C) </w:t>
      </w:r>
      <w:r>
        <w:rPr>
          <w:rFonts w:ascii="Times New Roman" w:hAnsi="Times New Roman"/>
          <w:b/>
          <w:i w:val="false"/>
          <w:color w:val="000000"/>
          <w:sz w:val="22"/>
        </w:rPr>
        <w:t xml:space="preserve">Educational qualifications. </w:t>
      </w:r>
      <w:r>
        <w:rPr>
          <w:rFonts w:ascii="Times New Roman" w:hAnsi="Times New Roman"/>
          <w:b w:val="false"/>
          <w:i w:val="false"/>
          <w:color w:val="000000"/>
          <w:sz w:val="22"/>
        </w:rPr>
        <w:t xml:space="preserve">An applicant for licensure as a physician assistant shall submit official copies of academic transcripts from an approved program for education of physician assistants, or the applicant shall qualify for the exception stated in paragraph </w:t>
      </w:r>
      <w:r>
        <w:rPr>
          <w:rFonts w:ascii="Times New Roman" w:hAnsi="Times New Roman"/>
          <w:b w:val="false"/>
          <w:i w:val="false"/>
          <w:color w:val="000000"/>
          <w:sz w:val="22"/>
        </w:rPr>
        <w:t>780.2(1)</w:t>
      </w:r>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481—780.8</w:t>
      </w:r>
      <w:r>
        <w:rPr>
          <w:rFonts w:ascii="Times New Roman" w:hAnsi="Times New Roman"/>
          <w:b/>
          <w:i w:val="false"/>
          <w:color w:val="000000"/>
          <w:sz w:val="22"/>
        </w:rPr>
        <w:t xml:space="preserve">(148C)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780.8(1)</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requirements. Physician assistants shall use the board-approved forms to notify the board of the identity of their supervising physicians at the following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beginning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of license renewal. The physician assistant shall notify the board of the identity of each of the physician assistant’s supervising physicians and of any change in the status of the supervisory relationships during the physician assistant’s current biennium. In addition, the physician assistant shall maintain a list of supervising physicians to provide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time of license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780.8(2)</w:t>
      </w:r>
      <w:r>
        <w:rPr>
          <w:rFonts w:ascii="Times New Roman" w:hAnsi="Times New Roman"/>
          <w:b w:val="false"/>
          <w:i w:val="false"/>
          <w:color w:val="000000"/>
          <w:sz w:val="22"/>
        </w:rPr>
        <w:t> </w:t>
      </w:r>
      <w:r>
        <w:rPr>
          <w:rFonts w:ascii="Times New Roman" w:hAnsi="Times New Roman"/>
          <w:b w:val="false"/>
          <w:i w:val="false"/>
          <w:color w:val="000000"/>
          <w:sz w:val="22"/>
        </w:rPr>
        <w:t>The physician assistant shall maintain documentation of current supervising physicians, which shall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780.8(3)</w:t>
      </w:r>
      <w:r>
        <w:rPr>
          <w:rFonts w:ascii="Times New Roman" w:hAnsi="Times New Roman"/>
          <w:b w:val="false"/>
          <w:i w:val="false"/>
          <w:color w:val="000000"/>
          <w:sz w:val="22"/>
        </w:rPr>
        <w:t> </w:t>
      </w:r>
      <w:r>
        <w:rPr>
          <w:rFonts w:ascii="Times New Roman" w:hAnsi="Times New Roman"/>
          <w:b w:val="false"/>
          <w:i w:val="false"/>
          <w:color w:val="000000"/>
          <w:sz w:val="22"/>
        </w:rPr>
        <w:t>A physician assistant who provides medical services shall be supervised by one or more physicians; but a physician shall not supervise more than five physician assistants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780.8(4)</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be the responsibility of the physician assistant and a supervising physician to ensure that the physician assistant is adequately supervised. Upon agreeing to supervise a physician assistant, a supervising physician will be advised that the physician’s name will be listed with the board as a supervising physician. In regard to scheduling, the physician assistant may not practice if supervision is unavailable, except as otherwise provided in Iowa Code chapter </w:t>
      </w:r>
      <w:hyperlink r:id="rId1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these rules, and must be in compliance with the requirement that no more than five physician assistants shall be supervised by a physician at the same time, pursuant to subrule </w:t>
      </w:r>
      <w:r>
        <w:rPr>
          <w:rFonts w:ascii="Times New Roman" w:hAnsi="Times New Roman"/>
          <w:b w:val="false"/>
          <w:i w:val="false"/>
          <w:color w:val="000000"/>
          <w:sz w:val="22"/>
        </w:rPr>
        <w:t>780.8(3)</w:t>
      </w:r>
      <w:r>
        <w:rPr>
          <w:rFonts w:ascii="Times New Roman" w:hAnsi="Times New Roman"/>
          <w:b w:val="false"/>
          <w:i w:val="false"/>
          <w:color w:val="000000"/>
          <w:sz w:val="22"/>
        </w:rPr>
        <w:t>. The physician assistant and the supervising physician are each responsible for knowing and complying with the supervision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the physician assistant shall be reviewed with a supervising physician on an ongoing basis as indicated by the clinical condition of the patient. Although every chart need not be signed nor every visit reviewed, nor does the supervising physician need to be physically present at each activity of the physician assistant, it is the responsibility of the supervising physician and physician assistant to ensure that each patient has received the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the physician assistant may be reviewed with a supervising physician in person, by telephone or by other telecommunicative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signatures are required, electronic signatures are allowed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signature is transcribed by the signer into an electronic record and is not the result of electronic regeneration;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mechanism exists allowing confirmation of the signature and protection from unauthorized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physician assistant is being trained to perform new medical procedures, the training shall be carried out under the supervision of a physician or another qualified individual. Upon completing the supervised training, a physician assistant may perform the new medical procedures if delegated by a supervising physician, except as otherwise provided in Iowa Code chapter </w:t>
      </w:r>
      <w:hyperlink r:id="rId1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these rules. New medical procedures may be delegated to a physician assistant after a supervising physician determines that the physician assistant is competent to perform the task.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481—780.9</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physician assistant shall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7">
        <w:r>
          <w:rPr>
            <w:rStyle w:val="Hyperlink"/>
            <w:rFonts w:ascii="Times New Roman" w:hAnsi="Times New Roman"/>
            <w:b w:val="false"/>
            <w:i w:val="false"/>
            <w:color w:val="000000"/>
            <w:sz w:val="22"/>
          </w:rPr>
          <w:t>481—782.2</w:t>
        </w:r>
      </w:hyperlink>
      <w:r>
        <w:rPr>
          <w:rFonts w:ascii="Times New Roman" w:hAnsi="Times New Roman"/>
          <w:b w:val="false"/>
          <w:i w:val="false"/>
          <w:color w:val="000000"/>
          <w:sz w:val="22"/>
        </w:rPr>
        <w:t xml:space="preserve">(148C) and the mandatory reporting requirements of subrule </w:t>
      </w:r>
      <w:r>
        <w:rPr>
          <w:rFonts w:ascii="Times New Roman" w:hAnsi="Times New Roman"/>
          <w:b w:val="false"/>
          <w:i w:val="false"/>
          <w:color w:val="000000"/>
          <w:sz w:val="22"/>
        </w:rPr>
        <w:t>780.9(4)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1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780.9(4)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responsibilities, examines, attends, counsels or treats adults in Iowa shall indicate on the renewal application completion of training in dependent adult abuse identification and reporting as required by Iowa Code section </w:t>
      </w:r>
      <w:hyperlink r:id="rId1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780.9(4)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780.9(4)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780.9(4)</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assistant shall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20">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assistant in Iowa until the license is reactivated. A licensee who practices as a physician assistant in the state of Iowa with an inactive license may be subject to disciplinary action by the board, injunctive action pursuant to Iowa Code section </w:t>
      </w:r>
      <w:hyperlink r:id="rId21">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2">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9665B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4952C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5752C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481—780.10</w:t>
      </w:r>
      <w:r>
        <w:rPr>
          <w:rFonts w:ascii="Times New Roman" w:hAnsi="Times New Roman"/>
          <w:b w:val="false"/>
          <w:i w:val="false"/>
          <w:color w:val="000000"/>
          <w:sz w:val="22"/>
        </w:rPr>
        <w:t xml:space="preserve"> to </w:t>
      </w:r>
      <w:r>
        <w:rPr>
          <w:rFonts w:ascii="Times New Roman" w:hAnsi="Times New Roman"/>
          <w:b/>
          <w:i w:val="false"/>
          <w:color w:val="000000"/>
          <w:sz w:val="22"/>
        </w:rPr>
        <w:t>780.14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481—780.15</w:t>
      </w:r>
      <w:r>
        <w:rPr>
          <w:rFonts w:ascii="Times New Roman" w:hAnsi="Times New Roman"/>
          <w:b/>
          <w:i w:val="false"/>
          <w:color w:val="000000"/>
          <w:sz w:val="22"/>
        </w:rPr>
        <w:t xml:space="preserve">(148C,88GA,ch1020) </w:t>
      </w:r>
      <w:r>
        <w:rPr>
          <w:rFonts w:ascii="Times New Roman" w:hAnsi="Times New Roman"/>
          <w:b/>
          <w:i w:val="false"/>
          <w:color w:val="000000"/>
          <w:sz w:val="22"/>
        </w:rPr>
        <w:t xml:space="preserve">Use of title. </w:t>
      </w:r>
      <w:r>
        <w:rPr>
          <w:rFonts w:ascii="Times New Roman" w:hAnsi="Times New Roman"/>
          <w:b w:val="false"/>
          <w:i w:val="false"/>
          <w:color w:val="000000"/>
          <w:sz w:val="22"/>
        </w:rPr>
        <w:t xml:space="preserve">A physician assistant licensed under Iowa Code chapter </w:t>
      </w:r>
      <w:hyperlink r:id="rId2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may use the words “physician assistant” after the person’s name or signify the same by the use of the letters “PA.” A person who meets the qualifications for licensure under Iowa Code chapter </w:t>
      </w:r>
      <w:hyperlink r:id="rId2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but does not possess a current license may use the title “PA” or “physician assistant” but may not act or practice as a physician assistant unless licensed under Iowa Code chapter </w:t>
      </w:r>
      <w:hyperlink r:id="rId2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481—780.16</w:t>
      </w:r>
      <w:r>
        <w:rPr>
          <w:rFonts w:ascii="Times New Roman" w:hAnsi="Times New Roman"/>
          <w:b/>
          <w:i w:val="false"/>
          <w:color w:val="000000"/>
          <w:sz w:val="22"/>
        </w:rPr>
        <w:t xml:space="preserve">(148C) </w:t>
      </w:r>
      <w:r>
        <w:rPr>
          <w:rFonts w:ascii="Times New Roman" w:hAnsi="Times New Roman"/>
          <w:b/>
          <w:i w:val="false"/>
          <w:color w:val="000000"/>
          <w:sz w:val="22"/>
        </w:rPr>
        <w:t xml:space="preserve">Address change. </w:t>
      </w:r>
      <w:r>
        <w:rPr>
          <w:rFonts w:ascii="Times New Roman" w:hAnsi="Times New Roman"/>
          <w:b w:val="false"/>
          <w:i w:val="false"/>
          <w:color w:val="000000"/>
          <w:sz w:val="22"/>
        </w:rPr>
        <w:t>The physician assistant shall notify the board of any change in permanent address within 30 days of its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481—780.17</w:t>
      </w:r>
      <w:r>
        <w:rPr>
          <w:rFonts w:ascii="Times New Roman" w:hAnsi="Times New Roman"/>
          <w:b/>
          <w:i w:val="false"/>
          <w:color w:val="000000"/>
          <w:sz w:val="22"/>
        </w:rPr>
        <w:t xml:space="preserve">(148C) </w:t>
      </w:r>
      <w:r>
        <w:rPr>
          <w:rFonts w:ascii="Times New Roman" w:hAnsi="Times New Roman"/>
          <w:b/>
          <w:i w:val="false"/>
          <w:color w:val="000000"/>
          <w:sz w:val="22"/>
        </w:rPr>
        <w:t xml:space="preserve">Student physician assistant.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780.17(1)</w:t>
      </w:r>
      <w:r>
        <w:rPr>
          <w:rFonts w:ascii="Times New Roman" w:hAnsi="Times New Roman"/>
          <w:b w:val="false"/>
          <w:i w:val="false"/>
          <w:color w:val="000000"/>
          <w:sz w:val="22"/>
        </w:rPr>
        <w:t> </w:t>
      </w:r>
      <w:r>
        <w:rPr>
          <w:rFonts w:ascii="Times New Roman" w:hAnsi="Times New Roman"/>
          <w:b w:val="false"/>
          <w:i w:val="false"/>
          <w:color w:val="000000"/>
          <w:sz w:val="22"/>
        </w:rPr>
        <w:t>Any person who is enrolled as a student in an approved program shall comply with the rules set forth in this chapter. A student is exempted from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780.17(2)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these rules, a student may perform medical services when they are rendered within the scope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481—780.18</w:t>
      </w:r>
      <w:r>
        <w:rPr>
          <w:rFonts w:ascii="Times New Roman" w:hAnsi="Times New Roman"/>
          <w:b/>
          <w:i w:val="false"/>
          <w:color w:val="000000"/>
          <w:sz w:val="22"/>
        </w:rPr>
        <w:t xml:space="preserve">(148C) </w:t>
      </w:r>
      <w:r>
        <w:rPr>
          <w:rFonts w:ascii="Times New Roman" w:hAnsi="Times New Roman"/>
          <w:b/>
          <w:i w:val="false"/>
          <w:color w:val="000000"/>
          <w:sz w:val="22"/>
        </w:rPr>
        <w:t xml:space="preserve">Recognition of an approved program. </w:t>
      </w:r>
      <w:r>
        <w:rPr>
          <w:rFonts w:ascii="Times New Roman" w:hAnsi="Times New Roman"/>
          <w:b w:val="false"/>
          <w:i w:val="false"/>
          <w:color w:val="000000"/>
          <w:sz w:val="22"/>
        </w:rPr>
        <w:t>The board shall recognize a program for education and training of physician assistants if it is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148C.2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780.19(1)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780.19(2)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27">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780.19(3)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assistant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100 hours of continuing education within two years of application for reactivation or NCCPA or successor agency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200 hours of continuing education within two years of application for reactivation, of which at least 40 percent of the hours completed shall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5177C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w:t>
      </w:r>
      <w:hyperlink r:id="rId2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9">
        <w:r>
          <w:rPr>
            <w:rStyle w:val="Hyperlink"/>
            <w:rFonts w:ascii="Times New Roman" w:hAnsi="Times New Roman"/>
            <w:b w:val="false"/>
            <w:i w:val="false"/>
            <w:color w:val="000000"/>
            <w:sz w:val="22"/>
          </w:rPr>
          <w:t>481—780.19</w:t>
        </w:r>
      </w:hyperlink>
      <w:r>
        <w:rPr>
          <w:rFonts w:ascii="Times New Roman" w:hAnsi="Times New Roman"/>
          <w:b w:val="false"/>
          <w:i w:val="false"/>
          <w:color w:val="000000"/>
          <w:sz w:val="22"/>
        </w:rPr>
        <w:t>(17A,147,272C) prior to practicing as a physician assistant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4"/>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1/19/05, Notice 11/10/04—published 2/16/05, effective 3/23/05]</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1/18/07, Notice 11/8/06—published 2/14/07, effective 3/21/07]</w:t>
      </w:r>
    </w:p>
    <w:p>
      <w:pPr>
        <w:spacing w:before="0" w:after="0"/>
        <w:ind w:left="120"/>
        <w:jc w:val="center"/>
      </w:pPr>
      <w:r>
        <w:rPr>
          <w:rFonts w:ascii="Times New Roman" w:hAnsi="Times New Roman"/>
          <w:b w:val="false"/>
          <w:i w:val="false"/>
          <w:color w:val="000000"/>
          <w:sz w:val="21"/>
        </w:rPr>
        <w:t>[Filed 2/5/07, Notice 11/8/06—published 2/28/07, effective 4/4/07]</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9665B</w:t>
      </w:r>
      <w:r>
        <w:rPr>
          <w:rFonts w:ascii="Times New Roman" w:hAnsi="Times New Roman"/>
          <w:b w:val="false"/>
          <w:i w:val="false"/>
          <w:color w:val="000000"/>
          <w:sz w:val="21"/>
        </w:rPr>
        <w:t xml:space="preserve"> (Notice ARC 9549B,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0462C</w:t>
      </w:r>
      <w:r>
        <w:rPr>
          <w:rFonts w:ascii="Times New Roman" w:hAnsi="Times New Roman"/>
          <w:b w:val="false"/>
          <w:i w:val="false"/>
          <w:color w:val="000000"/>
          <w:sz w:val="21"/>
        </w:rPr>
        <w:t xml:space="preserve"> (Notice ARC 0283C,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4952C</w:t>
      </w:r>
      <w:r>
        <w:rPr>
          <w:rFonts w:ascii="Times New Roman" w:hAnsi="Times New Roman"/>
          <w:b w:val="false"/>
          <w:i w:val="false"/>
          <w:color w:val="000000"/>
          <w:sz w:val="21"/>
        </w:rPr>
        <w:t xml:space="preserve"> (Notice ARC 4662C,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6896C</w:t>
      </w:r>
      <w:r>
        <w:rPr>
          <w:rFonts w:ascii="Times New Roman" w:hAnsi="Times New Roman"/>
          <w:b w:val="false"/>
          <w:i w:val="false"/>
          <w:color w:val="000000"/>
          <w:sz w:val="21"/>
        </w:rPr>
        <w:t xml:space="preserve"> (Notice ARC 6664C,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326.1, “remote medical site,” delayed 70 days by the Administrative Rules Review Committee at its meeting held June 7, 2004.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co/chapter/124.pdf" Type="http://schemas.openxmlformats.org/officeDocument/2006/relationships/hyperlink" Id="rId7"/>
    <Relationship TargetMode="External" Target="https://www.legis.iowa.gov/docs/iac/chapter/657.37.pdf" Type="http://schemas.openxmlformats.org/officeDocument/2006/relationships/hyperlink" Id="rId8"/>
    <Relationship TargetMode="External" Target="https://www.legis.iowa.gov/docs/iac/rule/481.780.19.pdf" Type="http://schemas.openxmlformats.org/officeDocument/2006/relationships/hyperlink" Id="rId9"/>
    <Relationship TargetMode="External" Target="https://www.legis.iowa.gov/docs/iac/rule/481.506.31.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www.idph.state.ia.us/licensure" Type="http://schemas.openxmlformats.org/officeDocument/2006/relationships/hyperlink" Id="rId12"/>
    <Relationship TargetMode="External" Target="https://www.legis.iowa.gov/docs/iac/rule/645.326.2.pdf" Type="http://schemas.openxmlformats.org/officeDocument/2006/relationships/hyperlink" Id="rId13"/>
    <Relationship TargetMode="External" Target="https://www.legis.iowa.gov/docs/iac/rule/481.501.1.pdf" Type="http://schemas.openxmlformats.org/officeDocument/2006/relationships/hyperlink" Id="rId14"/>
    <Relationship TargetMode="External" Target="https://www.legis.iowa.gov/docs/ico/chapter/148C.pdf" Type="http://schemas.openxmlformats.org/officeDocument/2006/relationships/hyperlink" Id="rId15"/>
    <Relationship TargetMode="External" Target="https://www.legis.iowa.gov/docs/ico/chapter/148C.pdf" Type="http://schemas.openxmlformats.org/officeDocument/2006/relationships/hyperlink" Id="rId16"/>
    <Relationship TargetMode="External" Target="https://www.legis.iowa.gov/docs/iac/rule/481.782.2.pdf" Type="http://schemas.openxmlformats.org/officeDocument/2006/relationships/hyperlink" Id="rId17"/>
    <Relationship TargetMode="External" Target="https://www.legis.iowa.gov/docs/ico/chapter/232.69.pdf" Type="http://schemas.openxmlformats.org/officeDocument/2006/relationships/hyperlink" Id="rId18"/>
    <Relationship TargetMode="External" Target="https://www.legis.iowa.gov/docs/ico/chapter/235B.16.pdf" Type="http://schemas.openxmlformats.org/officeDocument/2006/relationships/hyperlink" Id="rId19"/>
    <Relationship TargetMode="External" Target="https://www.legis.iowa.gov/docs/iac/rule/481.507.14.pdf" Type="http://schemas.openxmlformats.org/officeDocument/2006/relationships/hyperlink" Id="rId20"/>
    <Relationship TargetMode="External" Target="https://www.legis.iowa.gov/docs/ico/chapter/147.83.pdf" Type="http://schemas.openxmlformats.org/officeDocument/2006/relationships/hyperlink" Id="rId21"/>
    <Relationship TargetMode="External" Target="https://www.legis.iowa.gov/docs/ico/chapter/147.86.pdf" Type="http://schemas.openxmlformats.org/officeDocument/2006/relationships/hyperlink" Id="rId22"/>
    <Relationship TargetMode="External" Target="https://www.legis.iowa.gov/docs/ico/chapter/148C.pdf" Type="http://schemas.openxmlformats.org/officeDocument/2006/relationships/hyperlink" Id="rId23"/>
    <Relationship TargetMode="External" Target="https://www.legis.iowa.gov/docs/ico/chapter/148C.pdf" Type="http://schemas.openxmlformats.org/officeDocument/2006/relationships/hyperlink" Id="rId24"/>
    <Relationship TargetMode="External" Target="https://www.legis.iowa.gov/docs/ico/chapter/148C.pdf" Type="http://schemas.openxmlformats.org/officeDocument/2006/relationships/hyperlink" Id="rId25"/>
    <Relationship TargetMode="External" Target="https://www.legis.iowa.gov/docs/ico/chapter/148C.2.pdf" Type="http://schemas.openxmlformats.org/officeDocument/2006/relationships/hyperlink" Id="rId26"/>
    <Relationship TargetMode="External" Target="https://www.legis.iowa.gov/docs/iac/chapter/481.507.pdf" Type="http://schemas.openxmlformats.org/officeDocument/2006/relationships/hyperlink" Id="rId27"/>
    <Relationship TargetMode="External" Target="https://www.legis.iowa.gov/docs/iac/rule/481.506.31.pdf" Type="http://schemas.openxmlformats.org/officeDocument/2006/relationships/hyperlink" Id="rId28"/>
    <Relationship TargetMode="External" Target="https://www.legis.iowa.gov/docs/iac/rule/481.780.19.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147.pdf" Type="http://schemas.openxmlformats.org/officeDocument/2006/relationships/hyperlink" Id="rId31"/>
    <Relationship TargetMode="External" Target="https://www.legis.iowa.gov/docs/ico/chapter/148C.pdf" Type="http://schemas.openxmlformats.org/officeDocument/2006/relationships/hyperlink" Id="rId32"/>
    <Relationship TargetMode="External" Target="https://www.legis.iowa.gov/docs/ico/chapter/272C.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