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761</w:t>
      </w:r>
    </w:p>
    <w:p>
      <w:pPr>
        <w:spacing w:before="0" w:after="0"/>
        <w:ind w:left="120"/>
        <w:jc w:val="center"/>
      </w:pPr>
      <w:r>
        <w:rPr>
          <w:rFonts w:ascii="Times New Roman" w:hAnsi="Times New Roman"/>
          <w:b w:val="false"/>
          <w:i w:val="false"/>
          <w:color w:val="000000"/>
          <w:sz w:val="21"/>
        </w:rPr>
        <w:t>CONTINUING EDUCATION FOR OPTOMETRISTS</w:t>
      </w:r>
    </w:p>
    <w:p>
      <w:pPr>
        <w:spacing w:before="0" w:after="0"/>
        <w:ind w:left="120"/>
        <w:jc w:val="center"/>
      </w:pPr>
      <w:r>
        <w:rPr>
          <w:rFonts w:ascii="Times New Roman" w:hAnsi="Times New Roman"/>
          <w:b w:val="false"/>
          <w:i w:val="false"/>
          <w:color w:val="000000"/>
          <w:sz w:val="14"/>
        </w:rPr>
        <w:t>[Prior to 9/18/24, see Professional Licensure Division[645] Ch 181]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481—761.1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 format that provides one-way content to the licensee without immediate interaction with the instructor, including but not limited to correspondence courses, online courses and local study group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“Interactive online CE” </w:t>
      </w:r>
      <w:r>
        <w:rPr>
          <w:rFonts w:ascii="Times New Roman" w:hAnsi="Times New Roman"/>
          <w:b w:val="false"/>
          <w:i w:val="false"/>
          <w:color w:val="000000"/>
          <w:sz w:val="22"/>
        </w:rPr>
        <w:t>means the format allows for immediate interaction and feedback between the audience and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481—761.2</w:t>
      </w:r>
      <w:r>
        <w:rPr>
          <w:rFonts w:ascii="Times New Roman" w:hAnsi="Times New Roman"/>
          <w:b/>
          <w:i w:val="false"/>
          <w:color w:val="000000"/>
          <w:sz w:val="22"/>
        </w:rPr>
        <w:t xml:space="preserve">(154)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July 1 and ending on June 30 of each even-numbered year. Each biennium, each person who is licensed to practice as an optometrist in this state will be required to complete a minimum of 50 hours of continuing education that meets the standards in this chapter. Continuing education hours cannot be carried over 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481—761.3</w:t>
      </w:r>
      <w:r>
        <w:rPr>
          <w:rFonts w:ascii="Times New Roman" w:hAnsi="Times New Roman"/>
          <w:b/>
          <w:i w:val="false"/>
          <w:color w:val="000000"/>
          <w:sz w:val="22"/>
        </w:rPr>
        <w:t xml:space="preserve">(154,272C)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Numbers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programs of the Iowa Optometric Association, the American Optometric Association, the American Academy of Optometry, and national regional optometric congresses, schools of optometry, all state optometric associations, and any accredited department of ophthalmology.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Postgraduate study through an accredited school or college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or seminars that are approved and certified for optometric continuing education by the Association of Regulatory Boards of Optometry’s Council on Optometric Practitioner Education (COPE)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hours in each category in each biennium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hours of credit for interactive online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hours of credit for postgraduate study courses as referenced in subparagraph </w:t>
      </w:r>
      <w:r>
        <w:rPr>
          <w:rFonts w:ascii="Times New Roman" w:hAnsi="Times New Roman"/>
          <w:b w:val="false"/>
          <w:i w:val="false"/>
          <w:color w:val="000000"/>
          <w:sz w:val="22"/>
        </w:rPr>
        <w:t>761.3(2)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continuing education hours. Licensees shall provide proof of continuing education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in CPR offered in person by the American Heart Association, the American Red Cross or an equivalent organization. At least two hours per biennium is required, but credit will be granted for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on child abuse and dependent adult abuse identification and reporting through the department of health and human services for all licensees who examine, attend, counsel or treat children or dependent adults in the scope of the professional practice. Initial two-hour courses need to be taken with six months of employment. One-hour recertification training needs to be done every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per renewal period regarding guidelines for prescribing opioids, including recommendations on limitations on dosages and the length of prescriptions, risk factors for abuse, and nonopioid and nonpharmacologic therapy options. Credit will be granted for up to two hours per renewal period. If the continuing education did not cover the United States Centers for Disease Control and Prevention guideline for prescribing opioids for chronic pain, the licensee shall read the guideline prior to license renewal. “Opioid” means any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CELMO certification meets the continuing education requirements for licensees.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[Filed 4/19/07, Notice 3/14/07—published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8023B</w:t>
      </w:r>
      <w:r>
        <w:rPr>
          <w:rFonts w:ascii="Times New Roman" w:hAnsi="Times New Roman"/>
          <w:b w:val="false"/>
          <w:i w:val="false"/>
          <w:color w:val="000000"/>
          <w:sz w:val="21"/>
        </w:rPr>
        <w:t xml:space="preserve"> (Notice ARC 7762B,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7975C</w:t>
      </w:r>
      <w:r>
        <w:rPr>
          <w:rFonts w:ascii="Times New Roman" w:hAnsi="Times New Roman"/>
          <w:b w:val="false"/>
          <w:i w:val="false"/>
          <w:color w:val="000000"/>
          <w:sz w:val="21"/>
        </w:rPr>
        <w:t xml:space="preserve"> (Notice ARC 7473C,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