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742</w:t>
      </w:r>
    </w:p>
    <w:p>
      <w:pPr>
        <w:spacing w:before="0" w:after="0"/>
        <w:ind w:left="120"/>
        <w:jc w:val="center"/>
      </w:pPr>
      <w:r>
        <w:rPr>
          <w:rFonts w:ascii="Times New Roman" w:hAnsi="Times New Roman"/>
          <w:b w:val="false"/>
          <w:i w:val="false"/>
          <w:color w:val="000000"/>
          <w:sz w:val="21"/>
        </w:rPr>
        <w:t>CONTINUING EDUCATION FOR SPEECH PATHOLOGISTS</w:t>
      </w:r>
      <w:r>
        <w:br/>
      </w:r>
      <w:r>
        <w:rPr>
          <w:rFonts w:ascii="Times New Roman" w:hAnsi="Times New Roman"/>
          <w:b w:val="false"/>
          <w:i w:val="false"/>
          <w:color w:val="000000"/>
          <w:sz w:val="21"/>
        </w:rPr>
        <w:t>AND AUDIOLOGISTS</w:t>
      </w:r>
    </w:p>
    <w:p>
      <w:pPr>
        <w:spacing w:before="0" w:after="0"/>
        <w:ind w:left="120"/>
        <w:jc w:val="center"/>
      </w:pPr>
      <w:r>
        <w:rPr>
          <w:rFonts w:ascii="Times New Roman" w:hAnsi="Times New Roman"/>
          <w:b w:val="false"/>
          <w:i w:val="false"/>
          <w:color w:val="000000"/>
          <w:sz w:val="14"/>
        </w:rPr>
        <w:t>[Prior to 9/18/24, see Professional Licensure Division[645] Ch 303]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481—742.1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“AAA” </w:t>
      </w:r>
      <w:r>
        <w:rPr>
          <w:rFonts w:ascii="Times New Roman" w:hAnsi="Times New Roman"/>
          <w:b w:val="false"/>
          <w:i w:val="false"/>
          <w:color w:val="000000"/>
          <w:sz w:val="22"/>
        </w:rPr>
        <w:t>means the American Association of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“ASHA”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an approved program/activity that is directly related to the sciences or contemporary clinical practice of audiology, speech-language pathology and speech-language-hearing science and whose content and focus are beyond the basic preparation required for entry into the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speech pathology or audiology or both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481—742.2</w:t>
      </w:r>
      <w:r>
        <w:rPr>
          <w:rFonts w:ascii="Times New Roman" w:hAnsi="Times New Roman"/>
          <w:b/>
          <w:i w:val="false"/>
          <w:color w:val="000000"/>
          <w:sz w:val="22"/>
        </w:rPr>
        <w:t xml:space="preserve">(147)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run concurrently with each two-year period between January 1 of each even-numbered year and December 31 of each odd-numbered year. Each biennium, a person who is licensed to practice as a speech pathology or audiology licensee in this state will be required to complete a minimum of 26 hours of continuing education approved by the board. A person holding licensure in both speech pathology and audiology must meet the requirements for each profession. Continuing education hours do not carry over.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continuing education credit may be obtained by participation in an approved program or activity. Such programs and activities may take place individually or in group settings including in-person conferences, journal readings, teleconferences, videoconferences and online programs or activities as long as such programs and activities meet the criteria specified in the definition of continuing education in rule </w:t>
      </w:r>
      <w:hyperlink r:id="rId5">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742.2(5)</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481—742.3</w:t>
      </w:r>
      <w:r>
        <w:rPr>
          <w:rFonts w:ascii="Times New Roman" w:hAnsi="Times New Roman"/>
          <w:b/>
          <w:i w:val="false"/>
          <w:color w:val="000000"/>
          <w:sz w:val="22"/>
        </w:rPr>
        <w:t xml:space="preserve">(147,272C)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program or activity that meets all of the following criteria is appropriate for continuing education credit if the continuing education program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definition of continuing education as defined in rule </w:t>
      </w:r>
      <w:hyperlink r:id="rId6">
        <w:r>
          <w:rPr>
            <w:rStyle w:val="Hyperlink"/>
            <w:rFonts w:ascii="Times New Roman" w:hAnsi="Times New Roman"/>
            <w:b w:val="false"/>
            <w:i w:val="false"/>
            <w:color w:val="000000"/>
            <w:sz w:val="22"/>
          </w:rPr>
          <w:t>481—742.1</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matters that integrally relate to the practice of speech pathology or audiology or both that will be considered for approval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Basic communication processes. Information (beyond the basic licensure requirements) applicable to the normal development and use of speech, language, and hearing, i.e., anatomic and physiologic bases for the normal development and use of speech, language, and hearing; physical bases and processes of the production and perception of speech, language, and hearing; linguistic and psycholinguistic variables related to normal development and use of speech, language, and hearing; and technological, biomedical, engineering, and instrumentation information that would enable expansion of knowledge in the basic communication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Professional areas. Information pertaining to disorders of speech, language, and hearing, i.e., various types of disorders of communication, their manifestations, classification and causes; evaluation skills, including procedures, techniques, and instrumentation for assessment; and management procedures and principles in habilitation and rehabilitation of communication disorders. The board will accept dysphagia courses provided by qualified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areas. Study pertaining to the understanding of human behavior, both normal and abnormal, as well as services available from related professions that apply to the contemporary practice of speech-language pathology/audiology, e.g., theories of learning and behavior; services available from related professions that also deal with persons who have disorders of communication; information from these professions about the sensory, physical, emotional, social or intellectual states of child or adult; professional ethics; clinical supervision; counseling; and interviewing.</w:t>
      </w:r>
    </w:p>
    <w:p>
      <w:pPr>
        <w:spacing w:before="0" w:after="0"/>
        <w:ind w:left="120"/>
        <w:jc w:val="both"/>
      </w:pPr>
      <w:r>
        <w:rPr>
          <w:rFonts w:ascii="Times New Roman" w:hAnsi="Times New Roman"/>
          <w:b w:val="false"/>
          <w:i w:val="false"/>
          <w:color w:val="000000"/>
          <w:sz w:val="22"/>
        </w:rPr>
        <w:t>Unacceptable subject matter includes personal development, human relations, collective bargaining, and tours. A licensee may elect to take the Praxis Examination in speech pathology or audiology in lieu of earning continuing education credits. The licensee will have the results of the examination sent to the board by the agency administering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may present professional programs that meet the criteria in this rule. Two hours of credit will be allowed for each hour of newly developed presentation material. A maximum of 16 hours may be obtained per biennium. A course schedule or brochure must be maintained for 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combined total of six hours per biennium may be used for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Government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CPR, child abuse and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maximum of two hours may be used for business-related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will provide official transcripts indicating successful completion of academic courses that apply to the field of speech pathology and audiology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Continuing education credit may be earned by participation in continuing education programs and activities that meet the criteria in this rule and that are completed through journal readings, teleconference or videoconference participation, and online program participation. In addition, such programs and activities must include a posttest that the participant must pass in order to receive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will be obtained by attending a program that meets the criteria in </w:t>
      </w:r>
      <w:hyperlink r:id="rId7">
        <w:r>
          <w:rPr>
            <w:rStyle w:val="Hyperlink"/>
            <w:rFonts w:ascii="Times New Roman" w:hAnsi="Times New Roman"/>
            <w:b w:val="false"/>
            <w:i w:val="false"/>
            <w:color w:val="000000"/>
            <w:sz w:val="22"/>
          </w:rPr>
          <w:t>subrule 742.3(1)</w:t>
        </w:r>
      </w:hyperlink>
      <w:r>
        <w:rPr>
          <w:rFonts w:ascii="Times New Roman" w:hAnsi="Times New Roman"/>
          <w:b w:val="false"/>
          <w:i w:val="false"/>
          <w:color w:val="000000"/>
          <w:sz w:val="22"/>
        </w:rPr>
        <w:t xml:space="preserve"> including but not limited to continuing education programs offered by AAA and ASHA. Other individuals or groups may offer continuing education programs that meet the criteria in rule </w:t>
      </w:r>
      <w:hyperlink r:id="rId8">
        <w:r>
          <w:rPr>
            <w:rStyle w:val="Hyperlink"/>
            <w:rFonts w:ascii="Times New Roman" w:hAnsi="Times New Roman"/>
            <w:b w:val="false"/>
            <w:i w:val="false"/>
            <w:color w:val="000000"/>
            <w:sz w:val="22"/>
          </w:rPr>
          <w:t>481—742.3</w:t>
        </w:r>
      </w:hyperlink>
      <w:r>
        <w:rPr>
          <w:rFonts w:ascii="Times New Roman" w:hAnsi="Times New Roman"/>
          <w:b w:val="false"/>
          <w:i w:val="false"/>
          <w:color w:val="000000"/>
          <w:sz w:val="22"/>
        </w:rPr>
        <w:t>(147,272C) through one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state or local associations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Schools and institutes of speech pathology and 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Universities, colleges or community colleges.</w:t>
      </w:r>
    </w:p>
    <w:p>
      <w:pPr>
        <w:spacing w:before="0" w:after="0"/>
        <w:ind w:left="120"/>
        <w:jc w:val="both"/>
      </w:pPr>
      <w:r>
        <w:rPr>
          <w:rFonts w:ascii="Times New Roman" w:hAnsi="Times New Roman"/>
          <w:b w:val="false"/>
          <w:i w:val="false"/>
          <w:color w:val="000000"/>
          <w:sz w:val="22"/>
        </w:rPr>
        <w:t>Continuing education must be offered by or approved in advance of delivery by the organizations stated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5268C</w:t>
      </w:r>
      <w:r>
        <w:rPr>
          <w:rFonts w:ascii="Times New Roman" w:hAnsi="Times New Roman"/>
          <w:b w:val="false"/>
          <w:i w:val="false"/>
          <w:color w:val="000000"/>
          <w:sz w:val="21"/>
        </w:rPr>
        <w:t xml:space="preserve"> (Notice ARC 5163C, IAB 9/9/20)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7827C</w:t>
      </w:r>
      <w:r>
        <w:rPr>
          <w:rFonts w:ascii="Times New Roman" w:hAnsi="Times New Roman"/>
          <w:b w:val="false"/>
          <w:i w:val="false"/>
          <w:color w:val="000000"/>
          <w:sz w:val="21"/>
        </w:rPr>
        <w:t xml:space="preserve"> (Notice ARC 7470C,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42.1.pdf" Type="http://schemas.openxmlformats.org/officeDocument/2006/relationships/hyperlink" Id="rId5"/>
    <Relationship TargetMode="External" Target="https://www.legis.iowa.gov/docs/iac/rule/481.742.1.pdf" Type="http://schemas.openxmlformats.org/officeDocument/2006/relationships/hyperlink" Id="rId6"/>
    <Relationship TargetMode="External" Target="https://www.legis.iowa.gov/docs/iac/rule/645.303.3.pdf" Type="http://schemas.openxmlformats.org/officeDocument/2006/relationships/hyperlink" Id="rId7"/>
    <Relationship TargetMode="External" Target="https://www.legis.iowa.gov/docs/iac/rule/481.742.3.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co/chapter/147.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