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741</w:t>
      </w:r>
    </w:p>
    <w:p>
      <w:pPr>
        <w:spacing w:before="0" w:after="0"/>
        <w:ind w:left="120"/>
        <w:jc w:val="center"/>
      </w:pPr>
      <w:r>
        <w:rPr>
          <w:rFonts w:ascii="Times New Roman" w:hAnsi="Times New Roman"/>
          <w:b w:val="false"/>
          <w:i w:val="false"/>
          <w:color w:val="000000"/>
          <w:sz w:val="21"/>
        </w:rPr>
        <w:t>PRACTICE OF SPEECH PATHOLOGISTS AND AUDIOLOGISTS</w:t>
      </w:r>
    </w:p>
    <w:p>
      <w:pPr>
        <w:spacing w:before="0" w:after="0"/>
        <w:ind w:left="120"/>
        <w:jc w:val="center"/>
      </w:pPr>
      <w:r>
        <w:rPr>
          <w:rFonts w:ascii="Times New Roman" w:hAnsi="Times New Roman"/>
          <w:b w:val="false"/>
          <w:i w:val="false"/>
          <w:color w:val="000000"/>
          <w:sz w:val="14"/>
        </w:rPr>
        <w:t>[Prior to 9/18/24, see Professional Licensure Division[645] Ch 301]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481—741.1</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speech pathology or audiology services to a patient utilizing a telehealth visit if the services are provided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speech pathology or audiology services by a licensee to a patient using technology where the licensee and the patient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utilize technology that is secure and HIPAA-compliant (Health Insurance Portability and Accountability Act of 1996, PL 104–191, August 21, 1996, 110 Stat 1936), and that includes, at a minimum, audio and video equipment that allows two-way real-time interactive communication between the licensee and the patient. A licensee may use non-real-time technologies to prepare for an appointment or to communicate with a patient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speech pathology or audiology services. A licensee will not utilize a telehealth visit if the standard of care for the particular speech pathology or audiology service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will obtain informed consent from the patient specific to the services that will be provided in a telehealth visit. At a minimum, the informed consent will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speech pathology or audiology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741.1(5)</w:t>
      </w:r>
      <w:r>
        <w:rPr>
          <w:rFonts w:ascii="Times New Roman" w:hAnsi="Times New Roman"/>
          <w:b w:val="false"/>
          <w:i w:val="false"/>
          <w:color w:val="000000"/>
          <w:sz w:val="22"/>
        </w:rPr>
        <w:t> </w:t>
      </w:r>
      <w:r>
        <w:rPr>
          <w:rFonts w:ascii="Times New Roman" w:hAnsi="Times New Roman"/>
          <w:b w:val="false"/>
          <w:i w:val="false"/>
          <w:color w:val="000000"/>
          <w:sz w:val="22"/>
        </w:rPr>
        <w:t>A licensee will only provide speech pathology or audiology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speech pathology or audiology services are provided utilizing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741.1(7)</w:t>
      </w:r>
      <w:r>
        <w:rPr>
          <w:rFonts w:ascii="Times New Roman" w:hAnsi="Times New Roman"/>
          <w:b w:val="false"/>
          <w:i w:val="false"/>
          <w:color w:val="000000"/>
          <w:sz w:val="22"/>
        </w:rPr>
        <w:t> </w:t>
      </w:r>
      <w:r>
        <w:rPr>
          <w:rFonts w:ascii="Times New Roman" w:hAnsi="Times New Roman"/>
          <w:b w:val="false"/>
          <w:i w:val="false"/>
          <w:color w:val="000000"/>
          <w:sz w:val="22"/>
        </w:rPr>
        <w:t>Speech pathology or audiology services in Iowa through telephonic, electronic, or other means constitute the practice of speech pathology or audiology and require Iowa licensure, regardless of the location of the speech/language pathologist or audiologist.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5863C</w:t>
      </w:r>
      <w:r>
        <w:rPr>
          <w:rFonts w:ascii="Times New Roman" w:hAnsi="Times New Roman"/>
          <w:b w:val="false"/>
          <w:i w:val="false"/>
          <w:color w:val="000000"/>
          <w:sz w:val="21"/>
        </w:rPr>
        <w:t xml:space="preserve"> (Notice ARC 5556C, IAB 4/7/21)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7826C</w:t>
      </w:r>
      <w:r>
        <w:rPr>
          <w:rFonts w:ascii="Times New Roman" w:hAnsi="Times New Roman"/>
          <w:b w:val="false"/>
          <w:i w:val="false"/>
          <w:color w:val="000000"/>
          <w:sz w:val="21"/>
        </w:rPr>
        <w:t xml:space="preserve"> (Notice ARC 7469C,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54F.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