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SPEECH PATHOLOGY AND AUDIOLOGY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740</w:t>
      </w:r>
    </w:p>
    <w:p>
      <w:pPr>
        <w:spacing w:before="0" w:after="0"/>
        <w:ind w:left="120"/>
        <w:jc w:val="center"/>
      </w:pPr>
      <w:r>
        <w:rPr>
          <w:rFonts w:ascii="Times New Roman" w:hAnsi="Times New Roman"/>
          <w:b w:val="false"/>
          <w:i w:val="false"/>
          <w:color w:val="000000"/>
          <w:sz w:val="21"/>
        </w:rPr>
        <w:t>LICENSURE OF SPEECH PATHOLOGISTS AND AUDIOLOGISTS</w:t>
      </w:r>
    </w:p>
    <w:p>
      <w:pPr>
        <w:spacing w:before="0" w:after="0"/>
        <w:ind w:left="120"/>
        <w:jc w:val="center"/>
      </w:pPr>
      <w:r>
        <w:rPr>
          <w:rFonts w:ascii="Times New Roman" w:hAnsi="Times New Roman"/>
          <w:b w:val="false"/>
          <w:i w:val="false"/>
          <w:color w:val="000000"/>
          <w:sz w:val="14"/>
        </w:rPr>
        <w:t>[Prior to 9/18/24, see Professional Licensure Division[645] Ch 300]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481—740.1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 </w:t>
      </w:r>
      <w:r>
        <w:rPr>
          <w:rFonts w:ascii="Times New Roman" w:hAnsi="Times New Roman"/>
          <w:b w:val="false"/>
          <w:i w:val="false"/>
          <w:color w:val="000000"/>
          <w:sz w:val="22"/>
        </w:rPr>
        <w:t>means the American Board of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“ASHA” </w:t>
      </w:r>
      <w:r>
        <w:rPr>
          <w:rFonts w:ascii="Times New Roman" w:hAnsi="Times New Roman"/>
          <w:b w:val="false"/>
          <w:i w:val="false"/>
          <w:color w:val="000000"/>
          <w:sz w:val="22"/>
        </w:rPr>
        <w:t>means the American Speech-Language Hearing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“Assistant” </w:t>
      </w:r>
      <w:r>
        <w:rPr>
          <w:rFonts w:ascii="Times New Roman" w:hAnsi="Times New Roman"/>
          <w:b w:val="false"/>
          <w:i w:val="false"/>
          <w:color w:val="000000"/>
          <w:sz w:val="22"/>
        </w:rPr>
        <w:t>means an unlicensed person who works under the supervision of an Iowa-licensed speech pathologist or audiologist and meets the minimum requirements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“Audiologist” </w:t>
      </w:r>
      <w:r>
        <w:rPr>
          <w:rFonts w:ascii="Times New Roman" w:hAnsi="Times New Roman"/>
          <w:b w:val="false"/>
          <w:i w:val="false"/>
          <w:color w:val="000000"/>
          <w:sz w:val="22"/>
        </w:rPr>
        <w:t>means a person who engages in the application of principles, methods and procedures for measurement, testing, evaluation, prediction, consultation, counseling, instruction, habilitation, rehabilitation, or remediation related to hearing and disorders of hearing and associated communication disorders for the purpose of nonmedically evaluating, identifying, preventing, ameliorating, modifying, or remediating such disorders and conditions in individuals or groups of individuals, including the determination, selection and use of appropriate hearing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a minimum of 30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speech pathologist or audiologist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 site”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be continuously on site and present in the department or facility where services are being provided;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be immediately available to assist the person being supervised in the services being performed;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provide continued direction of appropriate aspects of each treatment session in which a component of treatment is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481—740.11</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“Speech pathologist” </w:t>
      </w:r>
      <w:r>
        <w:rPr>
          <w:rFonts w:ascii="Times New Roman" w:hAnsi="Times New Roman"/>
          <w:b w:val="false"/>
          <w:i w:val="false"/>
          <w:color w:val="000000"/>
          <w:sz w:val="22"/>
        </w:rPr>
        <w:t>means a person who engages in the application of principles, methods, and procedures for the measurement, testing, evaluation, prediction, consultation, counseling, instruction, habilitation, rehabilitation, or remediation related to the development and disorders of speech, swallowing, fluency, voice, or language for the purpose of nonmedically evaluating, preventing, ameliorating, modifying, or remediating such disorders and conditions in individuals or groups of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481—740.2</w:t>
      </w:r>
      <w:r>
        <w:rPr>
          <w:rFonts w:ascii="Times New Roman" w:hAnsi="Times New Roman"/>
          <w:b/>
          <w:i w:val="false"/>
          <w:color w:val="000000"/>
          <w:sz w:val="22"/>
        </w:rPr>
        <w:t xml:space="preserve">(147)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will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740.2(1)</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a completed online licensure application and pay the required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740.2(2)</w:t>
      </w:r>
      <w:r>
        <w:rPr>
          <w:rFonts w:ascii="Times New Roman" w:hAnsi="Times New Roman"/>
          <w:b w:val="false"/>
          <w:i w:val="false"/>
          <w:color w:val="000000"/>
          <w:sz w:val="22"/>
        </w:rPr>
        <w:t> </w:t>
      </w:r>
      <w:r>
        <w:rPr>
          <w:rFonts w:ascii="Times New Roman" w:hAnsi="Times New Roman"/>
          <w:b w:val="false"/>
          <w:i w:val="false"/>
          <w:color w:val="000000"/>
          <w:sz w:val="22"/>
        </w:rPr>
        <w:t>The application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official copy of a current ASHA certificate of clinical competence;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current ABA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sent directly from the school to the board showing proof of completion of not less than 400 hours of supervised clinical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nine months of full-time clinical experience, or equivalent, completed after the master’s degree, under the supervision of a licensed speech pathologist or audiologist or as a part of the doctoral degree;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7">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740.2(4)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licensed in another state will provide verification of license from the jurisdiction in which the applicant has most recently been licensed, and additional verifications if necessary to verify at least five years of an independent license as described in subrule </w:t>
      </w:r>
      <w:hyperlink r:id="rId8">
        <w:r>
          <w:rPr>
            <w:rStyle w:val="Hyperlink"/>
            <w:rFonts w:ascii="Times New Roman" w:hAnsi="Times New Roman"/>
            <w:b w:val="false"/>
            <w:i w:val="false"/>
            <w:color w:val="000000"/>
            <w:sz w:val="22"/>
          </w:rPr>
          <w:t>240.10(4)</w:t>
        </w:r>
      </w:hyperlink>
      <w:r>
        <w:rPr>
          <w:rFonts w:ascii="Times New Roman" w:hAnsi="Times New Roman"/>
          <w:b w:val="false"/>
          <w:i w:val="false"/>
          <w:color w:val="000000"/>
          <w:sz w:val="22"/>
        </w:rPr>
        <w:t>,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481—740.3</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740.3(1)</w:t>
      </w:r>
      <w:r>
        <w:rPr>
          <w:rFonts w:ascii="Times New Roman" w:hAnsi="Times New Roman"/>
          <w:b w:val="false"/>
          <w:i w:val="false"/>
          <w:color w:val="000000"/>
          <w:sz w:val="22"/>
        </w:rPr>
        <w:t> </w:t>
      </w:r>
      <w:r>
        <w:rPr>
          <w:rFonts w:ascii="Times New Roman" w:hAnsi="Times New Roman"/>
          <w:b w:val="false"/>
          <w:i w:val="false"/>
          <w:color w:val="000000"/>
          <w:sz w:val="22"/>
        </w:rPr>
        <w:t>The applicant shall possess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college or university with a major in speech pathology;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master’s or doctoral degree from an accredited school, college or university with a major in audiology.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740.3(2)</w:t>
      </w:r>
      <w:r>
        <w:rPr>
          <w:rFonts w:ascii="Times New Roman" w:hAnsi="Times New Roman"/>
          <w:b w:val="false"/>
          <w:i w:val="false"/>
          <w:color w:val="000000"/>
          <w:sz w:val="22"/>
        </w:rPr>
        <w:t> </w:t>
      </w:r>
      <w:r>
        <w:rPr>
          <w:rFonts w:ascii="Times New Roman" w:hAnsi="Times New Roman"/>
          <w:b w:val="false"/>
          <w:i w:val="false"/>
          <w:color w:val="000000"/>
          <w:sz w:val="22"/>
        </w:rPr>
        <w:t>Foreign-trained speech pathologists and audiologists will provide an equivalency evaluation at the licensee’s expense of the licensee’s educational credentials by one of the following: International Education Research Foundation, Inc., Credentials Evaluation Service. The professional curriculum must be equivalent to that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481—740.4</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examination required by the board will be the Praxis Examination in speech pathology or audiology. This examination is administered by the Educational Testing Service. The applicant will make arrangements to take the Praxis Examination in speech pathology or audiology and pay all expenses associated with taking the examination. The applicant will have the examination scores sent directly to the board from the Educational Testing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481—740.5</w:t>
      </w:r>
      <w:r>
        <w:rPr>
          <w:rFonts w:ascii="Times New Roman" w:hAnsi="Times New Roman"/>
          <w:b/>
          <w:i w:val="false"/>
          <w:color w:val="000000"/>
          <w:sz w:val="22"/>
        </w:rPr>
        <w:t xml:space="preserve">(147) </w:t>
      </w:r>
      <w:r>
        <w:rPr>
          <w:rFonts w:ascii="Times New Roman" w:hAnsi="Times New Roman"/>
          <w:b/>
          <w:i w:val="false"/>
          <w:color w:val="000000"/>
          <w:sz w:val="22"/>
        </w:rPr>
        <w:t xml:space="preserve">Speech therapy and audiology compact. </w:t>
      </w:r>
      <w:r>
        <w:rPr>
          <w:rFonts w:ascii="Times New Roman" w:hAnsi="Times New Roman"/>
          <w:b w:val="false"/>
          <w:i w:val="false"/>
          <w:color w:val="000000"/>
          <w:sz w:val="22"/>
        </w:rPr>
        <w:t>The rules of the speech therapy and audiology compact commission are incorporated by reference to Iowa Code section 147F.1. A speech therapist or audiologist may practice speech therapy or audiology in Iowa without a license issued by the board if the individual has a current compact privilege to practice in Iowa issued by the speech pathology and audiology compact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481—740.6</w:t>
      </w:r>
      <w:r>
        <w:rPr>
          <w:rFonts w:ascii="Times New Roman" w:hAnsi="Times New Roman"/>
          <w:b/>
          <w:i w:val="false"/>
          <w:color w:val="000000"/>
          <w:sz w:val="22"/>
        </w:rPr>
        <w:t xml:space="preserve">(147) </w:t>
      </w:r>
      <w:r>
        <w:rPr>
          <w:rFonts w:ascii="Times New Roman" w:hAnsi="Times New Roman"/>
          <w:b/>
          <w:i w:val="false"/>
          <w:color w:val="000000"/>
          <w:sz w:val="22"/>
        </w:rPr>
        <w:t xml:space="preserve">Temporary clinical license. </w:t>
      </w:r>
      <w:r>
        <w:rPr>
          <w:rFonts w:ascii="Times New Roman" w:hAnsi="Times New Roman"/>
          <w:b w:val="false"/>
          <w:i w:val="false"/>
          <w:color w:val="000000"/>
          <w:sz w:val="22"/>
        </w:rPr>
        <w:t>A temporary clinical license for the purpose of obtaining clinical experience as a prerequisite for licensure is valid for one year and may be renewed at the discretion of the board. The license shall be designated “temporary clinical license in speech pathology” or “temporary clinical license in audiology.”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740.6(1)</w:t>
      </w:r>
      <w:r>
        <w:rPr>
          <w:rFonts w:ascii="Times New Roman" w:hAnsi="Times New Roman"/>
          <w:b w:val="false"/>
          <w:i w:val="false"/>
          <w:color w:val="000000"/>
          <w:sz w:val="22"/>
        </w:rPr>
        <w:t> </w:t>
      </w:r>
      <w:r>
        <w:rPr>
          <w:rFonts w:ascii="Times New Roman" w:hAnsi="Times New Roman"/>
          <w:b w:val="false"/>
          <w:i w:val="false"/>
          <w:color w:val="000000"/>
          <w:sz w:val="22"/>
        </w:rPr>
        <w:t>A speech pathology applicant will submit the following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supervision by a speech pathologist with an active, current Iowa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and the temporary clinical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copy of the transcript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completion of not less than 400 hours of supervised clinical training in an accredited college or university;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740.6(2)</w:t>
      </w:r>
      <w:r>
        <w:rPr>
          <w:rFonts w:ascii="Times New Roman" w:hAnsi="Times New Roman"/>
          <w:b w:val="false"/>
          <w:i w:val="false"/>
          <w:color w:val="000000"/>
          <w:sz w:val="22"/>
        </w:rPr>
        <w:t> </w:t>
      </w:r>
      <w:r>
        <w:rPr>
          <w:rFonts w:ascii="Times New Roman" w:hAnsi="Times New Roman"/>
          <w:b w:val="false"/>
          <w:i w:val="false"/>
          <w:color w:val="000000"/>
          <w:sz w:val="22"/>
        </w:rPr>
        <w:t>An audiology applicant or an applicant completing a doctoral externship must submit the following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Evidence of supervision by an audiologist with an active, current Iowa license in good standing. The applicant completing an audiology doctoral externship must show evidence of on-site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form and the temporary clinical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official copy of the transcript,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completion of not less than 400 hours of supervised clinical training in an accredited college or university;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740.6(3)</w:t>
      </w:r>
      <w:r>
        <w:rPr>
          <w:rFonts w:ascii="Times New Roman" w:hAnsi="Times New Roman"/>
          <w:b w:val="false"/>
          <w:i w:val="false"/>
          <w:color w:val="000000"/>
          <w:sz w:val="22"/>
        </w:rPr>
        <w:t> </w:t>
      </w:r>
      <w:r>
        <w:rPr>
          <w:rFonts w:ascii="Times New Roman" w:hAnsi="Times New Roman"/>
          <w:b w:val="false"/>
          <w:i w:val="false"/>
          <w:color w:val="000000"/>
          <w:sz w:val="22"/>
        </w:rPr>
        <w:t>The plan for supervised clinical experience must be approved by the board before the applicant starts practice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at least nine months of full-time clinical experience,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supervision by an Iowa-licensed speech pathologist or audiologist, as appropriate. If the applicant is being supervised by more than one individual, each supervisor must submit a supervised clinical experience plan for approval. If there is a change in the supervised clinical experience plan at any time during the supervised clinical experience, the licensee must contact the board for approval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kept by the supervisor for two years from the last date of the clinical experience;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completed supervised clinical experience report form that shall be submitted to the board of speech pathology and audiology upon the applicant’s successful completion of the nine months of full-time clinical experience. If the applicant was supervised by more than one individual, each supervisor must submit a supervised clinical experience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481—740.7</w:t>
      </w:r>
      <w:r>
        <w:rPr>
          <w:rFonts w:ascii="Times New Roman" w:hAnsi="Times New Roman"/>
          <w:b/>
          <w:i w:val="false"/>
          <w:color w:val="000000"/>
          <w:sz w:val="22"/>
        </w:rPr>
        <w:t xml:space="preserve">(147) </w:t>
      </w:r>
      <w:r>
        <w:rPr>
          <w:rFonts w:ascii="Times New Roman" w:hAnsi="Times New Roman"/>
          <w:b/>
          <w:i w:val="false"/>
          <w:color w:val="000000"/>
          <w:sz w:val="22"/>
        </w:rPr>
        <w:t xml:space="preserve">Temporary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740.7(1)</w:t>
      </w:r>
      <w:r>
        <w:rPr>
          <w:rFonts w:ascii="Times New Roman" w:hAnsi="Times New Roman"/>
          <w:b w:val="false"/>
          <w:i w:val="false"/>
          <w:color w:val="000000"/>
          <w:sz w:val="22"/>
        </w:rPr>
        <w:t> </w:t>
      </w:r>
      <w:r>
        <w:rPr>
          <w:rFonts w:ascii="Times New Roman" w:hAnsi="Times New Roman"/>
          <w:b w:val="false"/>
          <w:i w:val="false"/>
          <w:color w:val="000000"/>
          <w:sz w:val="22"/>
        </w:rPr>
        <w:t>A nonresident may apply to the board for a temporary permit to practice speech pathology or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period not to exceed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submitting a letter to support the need for such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submitting documents to show that the applicant has substantially the same qualifications as required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submitting the documentation prior to the date the applicant intends to begin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submitting the temporary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740.7(2)</w:t>
      </w:r>
      <w:r>
        <w:rPr>
          <w:rFonts w:ascii="Times New Roman" w:hAnsi="Times New Roman"/>
          <w:b w:val="false"/>
          <w:i w:val="false"/>
          <w:color w:val="000000"/>
          <w:sz w:val="22"/>
        </w:rPr>
        <w:t> </w:t>
      </w:r>
      <w:r>
        <w:rPr>
          <w:rFonts w:ascii="Times New Roman" w:hAnsi="Times New Roman"/>
          <w:b w:val="false"/>
          <w:i w:val="false"/>
          <w:color w:val="000000"/>
          <w:sz w:val="22"/>
        </w:rPr>
        <w:t>The applicant shall receive a final determination from the board regarding the application for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481—740.8</w:t>
      </w:r>
      <w:r>
        <w:rPr>
          <w:rFonts w:ascii="Times New Roman" w:hAnsi="Times New Roman"/>
          <w:b/>
          <w:i w:val="false"/>
          <w:color w:val="000000"/>
          <w:sz w:val="22"/>
        </w:rPr>
        <w:t xml:space="preserve">(147) </w:t>
      </w:r>
      <w:r>
        <w:rPr>
          <w:rFonts w:ascii="Times New Roman" w:hAnsi="Times New Roman"/>
          <w:b/>
          <w:i w:val="false"/>
          <w:color w:val="000000"/>
          <w:sz w:val="22"/>
        </w:rPr>
        <w:t xml:space="preserve">Use of assistants. </w:t>
      </w:r>
      <w:r>
        <w:rPr>
          <w:rFonts w:ascii="Times New Roman" w:hAnsi="Times New Roman"/>
          <w:b w:val="false"/>
          <w:i w:val="false"/>
          <w:color w:val="000000"/>
          <w:sz w:val="22"/>
        </w:rPr>
        <w:t>A licensee will, in the delivery of professional services, utilize assistants only to the extent provided in these rules. Such assistants will use the title provided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740.8(1)</w:t>
      </w:r>
      <w:r>
        <w:rPr>
          <w:rFonts w:ascii="Times New Roman" w:hAnsi="Times New Roman"/>
          <w:b w:val="false"/>
          <w:i w:val="false"/>
          <w:color w:val="000000"/>
          <w:sz w:val="22"/>
        </w:rPr>
        <w:t> </w:t>
      </w:r>
      <w:r>
        <w:rPr>
          <w:rFonts w:ascii="Times New Roman" w:hAnsi="Times New Roman"/>
          <w:b w:val="false"/>
          <w:i/>
          <w:color w:val="000000"/>
          <w:sz w:val="22"/>
        </w:rPr>
        <w:t xml:space="preserve">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Speech pathology assistant I. </w:t>
      </w:r>
      <w:r>
        <w:rPr>
          <w:rFonts w:ascii="Times New Roman" w:hAnsi="Times New Roman"/>
          <w:b w:val="false"/>
          <w:i w:val="false"/>
          <w:color w:val="000000"/>
          <w:sz w:val="22"/>
        </w:rPr>
        <w:t>A speech pathology assistant I works with an individual for whom significant improvement is expected within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Speech pathology assistant II. </w:t>
      </w:r>
      <w:r>
        <w:rPr>
          <w:rFonts w:ascii="Times New Roman" w:hAnsi="Times New Roman"/>
          <w:b w:val="false"/>
          <w:i w:val="false"/>
          <w:color w:val="000000"/>
          <w:sz w:val="22"/>
        </w:rPr>
        <w:t>A speech pathology assistant II works with an individual for whom maintenance of present level of communication is the goal; or for whom, based on the history and diagnosis, only slow improvement is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Audiology assistant I. </w:t>
      </w:r>
      <w:r>
        <w:rPr>
          <w:rFonts w:ascii="Times New Roman" w:hAnsi="Times New Roman"/>
          <w:b w:val="false"/>
          <w:i w:val="false"/>
          <w:color w:val="000000"/>
          <w:sz w:val="22"/>
        </w:rPr>
        <w:t>An audiology assistant I is more broadly trained and may be given a variety of duties depending upon the individual’s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Audiology assistant II. </w:t>
      </w:r>
      <w:r>
        <w:rPr>
          <w:rFonts w:ascii="Times New Roman" w:hAnsi="Times New Roman"/>
          <w:b w:val="false"/>
          <w:i w:val="false"/>
          <w:color w:val="000000"/>
          <w:sz w:val="22"/>
        </w:rPr>
        <w:t>An audiology assistant II is trained specifically for a single task for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740.8(2)</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speech pathology assistant I or II or audiology assistant I will satisfy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Reach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 high school education, or its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three-semester-hour (or four-quarter-hour) course in introductory speech and language pathology for speech pathology assistants or in audiology for audiology assistants from an accredited educational institution and 15 hours of instruction in the specific tasks that the assistant will be performing;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training period comprised of 75 clock hours on instruction and practicum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audiology assistant II will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Reach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 high school education,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minimum of 15 clock hours of instruction and practicum experience in the specific task that the assistant will be performing.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740.8(3)</w:t>
      </w:r>
      <w:r>
        <w:rPr>
          <w:rFonts w:ascii="Times New Roman" w:hAnsi="Times New Roman"/>
          <w:b w:val="false"/>
          <w:i w:val="false"/>
          <w:color w:val="000000"/>
          <w:sz w:val="22"/>
        </w:rPr>
        <w:t> </w:t>
      </w:r>
      <w:r>
        <w:rPr>
          <w:rFonts w:ascii="Times New Roman" w:hAnsi="Times New Roman"/>
          <w:b w:val="false"/>
          <w:i/>
          <w:color w:val="000000"/>
          <w:sz w:val="22"/>
        </w:rPr>
        <w:t xml:space="preserve">Utilization. </w:t>
      </w:r>
      <w:r>
        <w:rPr>
          <w:rFonts w:ascii="Times New Roman" w:hAnsi="Times New Roman"/>
          <w:b w:val="false"/>
          <w:i w:val="false"/>
          <w:color w:val="000000"/>
          <w:sz w:val="22"/>
        </w:rPr>
        <w:t>Utilization of a speech pathology or audiology assistant requires that a plan be developed by the licensee desiring to utilize that assistant, consisting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assistant meets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plan of the activities and supervision that will be kept by the licensee supervising the assistant. This supervision will include direct on-site observation for a minimum of 20 percent of the assistant’s direct patient care for level I speech pathology and level I audiology assistants and 10 percent for level II speech pathology assistants. Level II audiology assistants will be supervised 10 percent of the time. At least half of that time will be direct on-site observation with the other portion provided as time interpreting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listing of the facilities where the assistant will be utilized;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signed by the licensee and the assistant, acknowledging the licensee and the assistant have read the rules pertaining to assistants.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740.8(4)</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assistants. </w:t>
      </w:r>
      <w:r>
        <w:rPr>
          <w:rFonts w:ascii="Times New Roman" w:hAnsi="Times New Roman"/>
          <w:b w:val="false"/>
          <w:i w:val="false"/>
          <w:color w:val="000000"/>
          <w:sz w:val="22"/>
        </w:rPr>
        <w:t>A licensee may not utilize more than three assistants unless a plan of supervision is filed and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740.8(5)</w:t>
      </w:r>
      <w:r>
        <w:rPr>
          <w:rFonts w:ascii="Times New Roman" w:hAnsi="Times New Roman"/>
          <w:b w:val="false"/>
          <w:i w:val="false"/>
          <w:color w:val="000000"/>
          <w:sz w:val="22"/>
        </w:rPr>
        <w:t> </w:t>
      </w:r>
      <w:r>
        <w:rPr>
          <w:rFonts w:ascii="Times New Roman" w:hAnsi="Times New Roman"/>
          <w:b w:val="false"/>
          <w:i/>
          <w:color w:val="000000"/>
          <w:sz w:val="22"/>
        </w:rPr>
        <w:t xml:space="preserve">Supervisor responsibilities. </w:t>
      </w:r>
      <w:r>
        <w:rPr>
          <w:rFonts w:ascii="Times New Roman" w:hAnsi="Times New Roman"/>
          <w:b w:val="false"/>
          <w:i w:val="false"/>
          <w:color w:val="000000"/>
          <w:sz w:val="22"/>
        </w:rPr>
        <w:t>A licensee who utilizes an assistant will have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legally responsible for the actions of the assistant in assigned duties with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make all professional decisions relating to the management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ensure that the assistant is assigned only those duties and responsibilities for which the assistant has been specifically trained and is qualified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ensure compliance of the assistant(s) under supervision with the provisions of these rules by providing direct observation and supervision of the activities of the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submit to the board of speech pathology and audiology upon request a copy of the plan of activities and supervision for each assistant and documentation of the dates each assistant was utilized by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481—740.9</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license by endorsement to any applicant from the District of Columbia or another state, territory, province or foreign country who has been a licensed speech pathologist or audiologist under the laws of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by endorsement will provide verification they meet the requirements of rule </w:t>
      </w:r>
      <w:hyperlink r:id="rId9">
        <w:r>
          <w:rPr>
            <w:rStyle w:val="Hyperlink"/>
            <w:rFonts w:ascii="Times New Roman" w:hAnsi="Times New Roman"/>
            <w:b w:val="false"/>
            <w:i w:val="false"/>
            <w:color w:val="000000"/>
            <w:sz w:val="22"/>
          </w:rPr>
          <w:t>481—740.2</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740.9(3)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0">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speech pathology or audiology will begin on January 1 of an even-numbered year and end on December 31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an initial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1">
        <w:r>
          <w:rPr>
            <w:rStyle w:val="Hyperlink"/>
            <w:rFonts w:ascii="Times New Roman" w:hAnsi="Times New Roman"/>
            <w:b w:val="false"/>
            <w:i w:val="false"/>
            <w:color w:val="000000"/>
            <w:sz w:val="22"/>
          </w:rPr>
          <w:t>481—742.2</w:t>
        </w:r>
      </w:hyperlink>
      <w:r>
        <w:rPr>
          <w:rFonts w:ascii="Times New Roman" w:hAnsi="Times New Roman"/>
          <w:b w:val="false"/>
          <w:i w:val="false"/>
          <w:color w:val="000000"/>
          <w:sz w:val="22"/>
        </w:rPr>
        <w:t xml:space="preserve">(147) and the mandatory reporting requirements of subrule </w:t>
      </w:r>
      <w:r>
        <w:rPr>
          <w:rFonts w:ascii="Times New Roman" w:hAnsi="Times New Roman"/>
          <w:b w:val="false"/>
          <w:i w:val="false"/>
          <w:color w:val="000000"/>
          <w:sz w:val="22"/>
        </w:rPr>
        <w:t>740.10(4)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a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740.11(4)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2">
        <w:r>
          <w:rPr>
            <w:rStyle w:val="Hyperlink"/>
            <w:rFonts w:ascii="Times New Roman" w:hAnsi="Times New Roman"/>
            <w:b w:val="false"/>
            <w:i w:val="false"/>
            <w:color w:val="000000"/>
            <w:sz w:val="22"/>
          </w:rPr>
          <w:t>481—subrule 507.20(3)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740.10(8)</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 fails to renew the license by the end of the grace period has an 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481—740.11</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740.11(1)</w:t>
      </w:r>
      <w:r>
        <w:rPr>
          <w:rFonts w:ascii="Times New Roman" w:hAnsi="Times New Roman"/>
          <w:b w:val="false"/>
          <w:i w:val="false"/>
          <w:color w:val="000000"/>
          <w:sz w:val="22"/>
        </w:rPr>
        <w:t> </w:t>
      </w:r>
      <w:r>
        <w:rPr>
          <w:rFonts w:ascii="Times New Roman" w:hAnsi="Times New Roman"/>
          <w:b w:val="false"/>
          <w:i w:val="false"/>
          <w:color w:val="000000"/>
          <w:sz w:val="22"/>
        </w:rPr>
        <w:t>Submit a completed reactivation application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740.11(2)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speech pathology and audiology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26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52 hours of continuing education within two years of application for reactivation;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passing the Praxis Examination in speech pathology or audiology within the last two years prior to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481—740.12</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speech pathology and audiology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2/2/77, Notice 12/29/76—published 2/23/77, effective 3/30/77]</w:t>
      </w:r>
    </w:p>
    <w:p>
      <w:pPr>
        <w:spacing w:before="0" w:after="0"/>
        <w:ind w:left="120"/>
        <w:jc w:val="center"/>
      </w:pPr>
      <w:r>
        <w:rPr>
          <w:rFonts w:ascii="Times New Roman" w:hAnsi="Times New Roman"/>
          <w:b w:val="false"/>
          <w:i w:val="false"/>
          <w:color w:val="000000"/>
          <w:sz w:val="21"/>
        </w:rPr>
        <w:t>[Filed emergency 8/14/81—published 9/2/81, effective 8/14/81]</w:t>
      </w:r>
    </w:p>
    <w:p>
      <w:pPr>
        <w:spacing w:before="0" w:after="0"/>
        <w:ind w:left="120"/>
        <w:jc w:val="center"/>
      </w:pPr>
      <w:r>
        <w:rPr>
          <w:rFonts w:ascii="Times New Roman" w:hAnsi="Times New Roman"/>
          <w:b w:val="false"/>
          <w:i w:val="false"/>
          <w:color w:val="000000"/>
          <w:sz w:val="21"/>
        </w:rPr>
        <w:t>[Filed 8/28/81, Notice 3/4/81—published 9/16/81, effective 10/21/81]</w:t>
      </w:r>
    </w:p>
    <w:p>
      <w:pPr>
        <w:spacing w:before="0" w:after="0"/>
        <w:ind w:left="120"/>
        <w:jc w:val="center"/>
      </w:pPr>
      <w:r>
        <w:rPr>
          <w:rFonts w:ascii="Times New Roman" w:hAnsi="Times New Roman"/>
          <w:b w:val="false"/>
          <w:i w:val="false"/>
          <w:color w:val="000000"/>
          <w:sz w:val="21"/>
        </w:rPr>
        <w:t>[Filed 10/22/82, Notice 8/18/82—published 11/10/82, effective 12/17/82]</w:t>
      </w:r>
    </w:p>
    <w:p>
      <w:pPr>
        <w:spacing w:before="0" w:after="0"/>
        <w:ind w:left="120"/>
        <w:jc w:val="center"/>
      </w:pPr>
      <w:r>
        <w:rPr>
          <w:rFonts w:ascii="Times New Roman" w:hAnsi="Times New Roman"/>
          <w:b w:val="false"/>
          <w:i w:val="false"/>
          <w:color w:val="000000"/>
          <w:sz w:val="21"/>
        </w:rPr>
        <w:t>[Filed 1/14/83, Notice 11/24/82—published 2/2/83, effective 3/11/83]</w:t>
      </w:r>
    </w:p>
    <w:p>
      <w:pPr>
        <w:spacing w:before="0" w:after="0"/>
        <w:ind w:left="120"/>
        <w:jc w:val="center"/>
      </w:pPr>
      <w:r>
        <w:rPr>
          <w:rFonts w:ascii="Times New Roman" w:hAnsi="Times New Roman"/>
          <w:b w:val="false"/>
          <w:i w:val="false"/>
          <w:color w:val="000000"/>
          <w:sz w:val="21"/>
        </w:rPr>
        <w:t>[Filed 6/15/83, Notice 4/13/83—published 7/6/83, effective 8/11/83]</w:t>
      </w:r>
    </w:p>
    <w:p>
      <w:pPr>
        <w:spacing w:before="0" w:after="0"/>
        <w:ind w:left="120"/>
        <w:jc w:val="center"/>
      </w:pPr>
      <w:r>
        <w:rPr>
          <w:rFonts w:ascii="Times New Roman" w:hAnsi="Times New Roman"/>
          <w:b w:val="false"/>
          <w:i w:val="false"/>
          <w:color w:val="000000"/>
          <w:sz w:val="21"/>
        </w:rPr>
        <w:t>[Filed emergency 11/1/83 after Notice 9/14/83—published 11/23/83, effective 11/1/83]</w:t>
      </w:r>
    </w:p>
    <w:p>
      <w:pPr>
        <w:spacing w:before="0" w:after="0"/>
        <w:ind w:left="120"/>
        <w:jc w:val="center"/>
      </w:pPr>
      <w:r>
        <w:rPr>
          <w:rFonts w:ascii="Times New Roman" w:hAnsi="Times New Roman"/>
          <w:b w:val="false"/>
          <w:i w:val="false"/>
          <w:color w:val="000000"/>
          <w:sz w:val="21"/>
        </w:rPr>
        <w:t>[Filed 1/21/85, Notice 11/21/84—published 2/13/85, effective 3/20/85]</w:t>
      </w:r>
    </w:p>
    <w:p>
      <w:pPr>
        <w:spacing w:before="0" w:after="0"/>
        <w:ind w:left="120"/>
        <w:jc w:val="center"/>
      </w:pPr>
      <w:r>
        <w:rPr>
          <w:rFonts w:ascii="Times New Roman" w:hAnsi="Times New Roman"/>
          <w:b w:val="false"/>
          <w:i w:val="false"/>
          <w:color w:val="000000"/>
          <w:sz w:val="21"/>
        </w:rPr>
        <w:t>[Filed 6/18/86, Notice 4/9/86—published 7/16/86, effective 8/20/86]</w:t>
      </w:r>
    </w:p>
    <w:p>
      <w:pPr>
        <w:spacing w:before="0" w:after="0"/>
        <w:ind w:left="120"/>
        <w:jc w:val="center"/>
      </w:pPr>
      <w:r>
        <w:rPr>
          <w:rFonts w:ascii="Times New Roman" w:hAnsi="Times New Roman"/>
          <w:b w:val="false"/>
          <w:i w:val="false"/>
          <w:color w:val="000000"/>
          <w:sz w:val="21"/>
        </w:rPr>
        <w:t>[Filed 7/29/88, Notice 3/23/88—published 8/24/88, effective 9/28/88]</w:t>
      </w:r>
    </w:p>
    <w:p>
      <w:pPr>
        <w:spacing w:before="0" w:after="0"/>
        <w:ind w:left="120"/>
        <w:jc w:val="center"/>
      </w:pPr>
      <w:r>
        <w:rPr>
          <w:rFonts w:ascii="Times New Roman" w:hAnsi="Times New Roman"/>
          <w:b w:val="false"/>
          <w:i w:val="false"/>
          <w:color w:val="000000"/>
          <w:sz w:val="21"/>
        </w:rPr>
        <w:t>[Filed 7/29/88, Notice 5/4/88—published 8/24/88, effective 9/28/88]</w:t>
      </w:r>
    </w:p>
    <w:p>
      <w:pPr>
        <w:spacing w:before="0" w:after="0"/>
        <w:ind w:left="120"/>
        <w:jc w:val="center"/>
      </w:pPr>
      <w:r>
        <w:rPr>
          <w:rFonts w:ascii="Times New Roman" w:hAnsi="Times New Roman"/>
          <w:b w:val="false"/>
          <w:i w:val="false"/>
          <w:color w:val="000000"/>
          <w:sz w:val="21"/>
        </w:rPr>
        <w:t>[Filed 6/9/89, Notice 2/8/89—published 6/28/89, effective 8/2/89]</w:t>
      </w:r>
    </w:p>
    <w:p>
      <w:pPr>
        <w:spacing w:before="0" w:after="0"/>
        <w:ind w:left="120"/>
        <w:jc w:val="center"/>
      </w:pPr>
      <w:r>
        <w:rPr>
          <w:rFonts w:ascii="Times New Roman" w:hAnsi="Times New Roman"/>
          <w:b w:val="false"/>
          <w:i w:val="false"/>
          <w:color w:val="000000"/>
          <w:sz w:val="21"/>
        </w:rPr>
        <w:t>[Filed 4/12/91, Notice 1/9/91—published 5/1/91, effective 6/5/91]</w:t>
      </w:r>
    </w:p>
    <w:p>
      <w:pPr>
        <w:spacing w:before="0" w:after="0"/>
        <w:ind w:left="120"/>
        <w:jc w:val="center"/>
      </w:pPr>
      <w:r>
        <w:rPr>
          <w:rFonts w:ascii="Times New Roman" w:hAnsi="Times New Roman"/>
          <w:b w:val="false"/>
          <w:i w:val="false"/>
          <w:color w:val="000000"/>
          <w:sz w:val="21"/>
        </w:rPr>
        <w:t>[Filed 8/1/91, Notice 5/1/91—published 8/21/91, effective 9/25/91]</w:t>
      </w:r>
    </w:p>
    <w:p>
      <w:pPr>
        <w:spacing w:before="0" w:after="0"/>
        <w:ind w:left="120"/>
        <w:jc w:val="center"/>
      </w:pPr>
      <w:r>
        <w:rPr>
          <w:rFonts w:ascii="Times New Roman" w:hAnsi="Times New Roman"/>
          <w:b w:val="false"/>
          <w:i w:val="false"/>
          <w:color w:val="000000"/>
          <w:sz w:val="21"/>
        </w:rPr>
        <w:t>[Filed 11/22/91, Notice 8/21/91—published 12/11/91, effective 1/15/92]</w:t>
      </w:r>
    </w:p>
    <w:p>
      <w:pPr>
        <w:spacing w:before="0" w:after="0"/>
        <w:ind w:left="120"/>
        <w:jc w:val="center"/>
      </w:pPr>
      <w:r>
        <w:rPr>
          <w:rFonts w:ascii="Times New Roman" w:hAnsi="Times New Roman"/>
          <w:b w:val="false"/>
          <w:i w:val="false"/>
          <w:color w:val="000000"/>
          <w:sz w:val="21"/>
        </w:rPr>
        <w:t>[Filed 1/29/93, Notice 9/30/92—published 2/17/93, effective 4/1/93]</w:t>
      </w:r>
    </w:p>
    <w:p>
      <w:pPr>
        <w:spacing w:before="0" w:after="0"/>
        <w:ind w:left="120"/>
        <w:jc w:val="center"/>
      </w:pPr>
      <w:r>
        <w:rPr>
          <w:rFonts w:ascii="Times New Roman" w:hAnsi="Times New Roman"/>
          <w:b w:val="false"/>
          <w:i w:val="false"/>
          <w:color w:val="000000"/>
          <w:sz w:val="21"/>
        </w:rPr>
        <w:t>[Filed 2/23/94, Notice 12/8/93—published 3/16/94, effective 4/22/94]</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2/15/00, Notice 12/15/99—published 3/8/00, effective 4/12/00]</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5/9/02, Notice 4/3/02—published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2/27/04, Notice 12/10/03—published 3/17/04, effective 4/21/04]</w:t>
      </w:r>
    </w:p>
    <w:p>
      <w:pPr>
        <w:spacing w:before="0" w:after="0"/>
        <w:ind w:left="120"/>
        <w:jc w:val="center"/>
      </w:pPr>
      <w:r>
        <w:rPr>
          <w:rFonts w:ascii="Times New Roman" w:hAnsi="Times New Roman"/>
          <w:b w:val="false"/>
          <w:i w:val="false"/>
          <w:color w:val="000000"/>
          <w:sz w:val="21"/>
        </w:rPr>
        <w:t>[Filed 8/22/05, Notice 6/8/05—published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9947B</w:t>
      </w:r>
      <w:r>
        <w:rPr>
          <w:rFonts w:ascii="Times New Roman" w:hAnsi="Times New Roman"/>
          <w:b w:val="false"/>
          <w:i w:val="false"/>
          <w:color w:val="000000"/>
          <w:sz w:val="21"/>
        </w:rPr>
        <w:t xml:space="preserve"> (Notice ARC 9767B, IAB 10/5/11)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1397C</w:t>
      </w:r>
      <w:r>
        <w:rPr>
          <w:rFonts w:ascii="Times New Roman" w:hAnsi="Times New Roman"/>
          <w:b w:val="false"/>
          <w:i w:val="false"/>
          <w:color w:val="000000"/>
          <w:sz w:val="21"/>
        </w:rPr>
        <w:t xml:space="preserve"> (Notice ARC 1314C,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4214C</w:t>
      </w:r>
      <w:r>
        <w:rPr>
          <w:rFonts w:ascii="Times New Roman" w:hAnsi="Times New Roman"/>
          <w:b w:val="false"/>
          <w:i w:val="false"/>
          <w:color w:val="000000"/>
          <w:sz w:val="21"/>
        </w:rPr>
        <w:t xml:space="preserve"> (Notice ARC 4035C, IAB 9/26/18)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5161C</w:t>
      </w:r>
      <w:r>
        <w:rPr>
          <w:rFonts w:ascii="Times New Roman" w:hAnsi="Times New Roman"/>
          <w:b w:val="false"/>
          <w:i w:val="false"/>
          <w:color w:val="000000"/>
          <w:sz w:val="21"/>
        </w:rPr>
        <w:t xml:space="preserve"> (Notice ARC 4913C, IAB 2/12/20)</w:t>
      </w:r>
      <w:r>
        <w:rPr>
          <w:rFonts w:ascii="Times New Roman" w:hAnsi="Times New Roman"/>
          <w:b w:val="false"/>
          <w:i w:val="false"/>
          <w:color w:val="000000"/>
          <w:sz w:val="21"/>
        </w:rPr>
        <w:t>, IAB 8/26/20, effective 10/1/20]</w:t>
      </w:r>
    </w:p>
    <w:p>
      <w:pPr>
        <w:spacing w:before="0" w:after="0"/>
        <w:ind w:left="120"/>
        <w:jc w:val="center"/>
      </w:pPr>
      <w:r>
        <w:rPr>
          <w:rFonts w:ascii="Times New Roman" w:hAnsi="Times New Roman"/>
          <w:b w:val="false"/>
          <w:i w:val="false"/>
          <w:color w:val="000000"/>
          <w:sz w:val="21"/>
        </w:rPr>
        <w:t>[Filed ARC 5757C</w:t>
      </w:r>
      <w:r>
        <w:rPr>
          <w:rFonts w:ascii="Times New Roman" w:hAnsi="Times New Roman"/>
          <w:b w:val="false"/>
          <w:i w:val="false"/>
          <w:color w:val="000000"/>
          <w:sz w:val="21"/>
        </w:rPr>
        <w:t xml:space="preserve"> (Notice ARC 5457C,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6999C</w:t>
      </w:r>
      <w:r>
        <w:rPr>
          <w:rFonts w:ascii="Times New Roman" w:hAnsi="Times New Roman"/>
          <w:b w:val="false"/>
          <w:i w:val="false"/>
          <w:color w:val="000000"/>
          <w:sz w:val="21"/>
        </w:rPr>
        <w:t xml:space="preserve"> (Notice ARC 6658C,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7825C</w:t>
      </w:r>
      <w:r>
        <w:rPr>
          <w:rFonts w:ascii="Times New Roman" w:hAnsi="Times New Roman"/>
          <w:b w:val="false"/>
          <w:i w:val="false"/>
          <w:color w:val="000000"/>
          <w:sz w:val="21"/>
        </w:rPr>
        <w:t xml:space="preserve"> (Notice ARC 7468C,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40.11.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1.2.pdf" Type="http://schemas.openxmlformats.org/officeDocument/2006/relationships/hyperlink" Id="rId7"/>
    <Relationship TargetMode="External" Target="https://www.legis.iowa.gov/docs/iac/rule/645.240.10.pdf" Type="http://schemas.openxmlformats.org/officeDocument/2006/relationships/hyperlink" Id="rId8"/>
    <Relationship TargetMode="External" Target="https://www.legis.iowa.gov/docs/iac/rule/481.740.2.pdf" Type="http://schemas.openxmlformats.org/officeDocument/2006/relationships/hyperlink" Id="rId9"/>
    <Relationship TargetMode="External" Target="https://www.legis.iowa.gov/docs/iac/rule/481.501.1.pdf" Type="http://schemas.openxmlformats.org/officeDocument/2006/relationships/hyperlink" Id="rId10"/>
    <Relationship TargetMode="External" Target="https://www.legis.iowa.gov/docs/iac/rule/481.742.2.pdf" Type="http://schemas.openxmlformats.org/officeDocument/2006/relationships/hyperlink" Id="rId11"/>
    <Relationship TargetMode="External" Target="https://www.legis.iowa.gov/docs/iac/rule/481.507.20.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47.pdf" Type="http://schemas.openxmlformats.org/officeDocument/2006/relationships/hyperlink" Id="rId14"/>
    <Relationship TargetMode="External" Target="https://www.legis.iowa.gov/docs/ico/chapter/272C.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