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721</w:t>
      </w:r>
    </w:p>
    <w:p>
      <w:pPr>
        <w:spacing w:before="0" w:after="0"/>
        <w:ind w:left="120"/>
        <w:jc w:val="center"/>
      </w:pPr>
      <w:r>
        <w:rPr>
          <w:rFonts w:ascii="Times New Roman" w:hAnsi="Times New Roman"/>
          <w:b w:val="false"/>
          <w:i w:val="false"/>
          <w:color w:val="000000"/>
          <w:sz w:val="21"/>
        </w:rPr>
        <w:t>CONTINUING EDUCATION FOR RESPIRATORY CARE PRACTITIONERS AND POLYSOMNOGRAPHIC TECHNOLOGISTS</w:t>
      </w:r>
    </w:p>
    <w:p>
      <w:pPr>
        <w:spacing w:before="0" w:after="0"/>
        <w:ind w:left="120"/>
        <w:jc w:val="center"/>
      </w:pPr>
      <w:r>
        <w:rPr>
          <w:rFonts w:ascii="Times New Roman" w:hAnsi="Times New Roman"/>
          <w:b w:val="false"/>
          <w:i w:val="false"/>
          <w:color w:val="000000"/>
          <w:sz w:val="14"/>
        </w:rPr>
        <w:t>[Prior to 4/17/02, see 645—Chapter 261]</w:t>
      </w:r>
    </w:p>
    <w:p>
      <w:pPr>
        <w:spacing w:before="0" w:after="0"/>
        <w:ind w:left="120"/>
        <w:jc w:val="center"/>
      </w:pPr>
      <w:r>
        <w:rPr>
          <w:rFonts w:ascii="Times New Roman" w:hAnsi="Times New Roman"/>
          <w:b w:val="false"/>
          <w:i w:val="false"/>
          <w:color w:val="000000"/>
          <w:sz w:val="14"/>
        </w:rPr>
        <w:t>[Prior to 9/18/24, see Professional Licensure Division[645] Ch 262]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481—721.1</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respiratory care and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respiratory care practitioner, polysomnographic technologist, or respiratory care and polysomnography practitioner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8074C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481—721.2</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continuing education compliance period will extend for a two-year period beginning on April 1 of each even-numbered year and ending on March 31 of the next even-numbered year. Each biennium, the licensee will be required to complete continuing education that meets the requirements specified in rule </w:t>
      </w:r>
      <w:hyperlink r:id="rId5">
        <w:r>
          <w:rPr>
            <w:rStyle w:val="Hyperlink"/>
            <w:rFonts w:ascii="Times New Roman" w:hAnsi="Times New Roman"/>
            <w:b w:val="false"/>
            <w:i w:val="false"/>
            <w:color w:val="000000"/>
            <w:sz w:val="22"/>
          </w:rPr>
          <w:t>481—721.3</w:t>
        </w:r>
      </w:hyperlink>
      <w:r>
        <w:rPr>
          <w:rFonts w:ascii="Times New Roman" w:hAnsi="Times New Roman"/>
          <w:b w:val="false"/>
          <w:i w:val="false"/>
          <w:color w:val="000000"/>
          <w:sz w:val="22"/>
        </w:rPr>
        <w:t>(148G,152B,272C).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respiratory care practitioner licensees: complete a minimum of 24 hours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respiratory care and polysomnography practitioner licensees: complete a minimum of 24 hours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polysomnographic technologist licensees: complete a minimum of 24 hours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Continuing education hours acquired any time from the initial licensing until the second license renewal may be used. For each subsequent license renewal, the new licensee will be required to complete continuing education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shall be carried over into the next biennium except as stated for the second renewal.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8074C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481—721.3</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hours of credit may be obtained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Programs/activities of a clinical nature related to the practice of respiratory care or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presenters who will receive one hour of credit for each hour of presentation for the first offering of the continuing education program/activity.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coursework that meets the criteria set forth in the rules and is accompanied by an official transcript indicating successful completion of the course. Continuing education credit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are approved for continuing education credit on a one-time basis per biennium and require a certificate of attendance or verification:</w:t>
      </w:r>
    </w:p>
    <w:p>
      <w:pPr>
        <w:spacing w:before="0" w:after="0"/>
        <w:ind w:left="120"/>
        <w:jc w:val="both"/>
      </w:pPr>
      <w:r>
        <w:rPr>
          <w:rFonts w:ascii="Times New Roman" w:hAnsi="Times New Roman"/>
          <w:b w:val="false"/>
          <w:i w:val="false"/>
          <w:color w:val="000000"/>
          <w:sz w:val="22"/>
        </w:rPr>
        <w:t>CERTIFICATIONS</w:t>
      </w:r>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6395"/>
        <w:gridCol w:w="4795"/>
      </w:tblGrid>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Advanced Cardiac Life Support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12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Basic Cardiac Life Support—Instructor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8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Basic Cardiac Life Support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6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Neonatal Resuscitation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9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Pediatric Advanced Life Support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14 hours</w:t>
            </w:r>
          </w:p>
        </w:tc>
      </w:tr>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Mandatory Reporting </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4 hours</w:t>
            </w:r>
          </w:p>
        </w:tc>
      </w:tr>
      <w:tr>
        <w:trPr>
          <w:trHeight w:val="495" w:hRule="atLeast"/>
        </w:trPr>
        <w:tc>
          <w:tcPr>
            <w:tcW w:w="63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Certified Pulmonary Function</w:t>
            </w:r>
            <w:r>
              <w:br/>
            </w: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Technologist</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8 hours</w:t>
            </w:r>
          </w:p>
        </w:tc>
      </w:tr>
      <w:tr>
        <w:trPr>
          <w:trHeight w:val="495" w:hRule="atLeast"/>
        </w:trPr>
        <w:tc>
          <w:tcPr>
            <w:tcW w:w="63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Registered Pulmonary Function</w:t>
            </w:r>
            <w:r>
              <w:br/>
            </w: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Technologist</w:t>
            </w:r>
          </w:p>
        </w:tc>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12 hours</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8074C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chapters </w:t>
      </w:r>
      <w:hyperlink r:id="rId7">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12/8/00, Notice 10/24/00—published 12/27/00, effective 1/31/01]</w:t>
      </w:r>
    </w:p>
    <w:p>
      <w:pPr>
        <w:spacing w:before="0" w:after="0"/>
        <w:ind w:left="120"/>
        <w:jc w:val="center"/>
      </w:pPr>
      <w:r>
        <w:rPr>
          <w:rFonts w:ascii="Times New Roman" w:hAnsi="Times New Roman"/>
          <w:b w:val="false"/>
          <w:i w:val="false"/>
          <w:color w:val="000000"/>
          <w:sz w:val="21"/>
        </w:rPr>
        <w:t>[Filed 3/29/02, Notice 1/23/02—published 4/17/02, effective 5/22/02]</w:t>
      </w:r>
    </w:p>
    <w:p>
      <w:pPr>
        <w:spacing w:before="0" w:after="0"/>
        <w:ind w:left="120"/>
        <w:jc w:val="center"/>
      </w:pPr>
      <w:r>
        <w:rPr>
          <w:rFonts w:ascii="Times New Roman" w:hAnsi="Times New Roman"/>
          <w:b w:val="false"/>
          <w:i w:val="false"/>
          <w:color w:val="000000"/>
          <w:sz w:val="21"/>
        </w:rPr>
        <w:t>[Filed 1/14/04, Notice 10/15/03—published 2/4/04, effective 3/10/04]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5/12/05, Notice 3/16/05—published 6/8/05, effective 7/13/05]</w:t>
      </w:r>
    </w:p>
    <w:p>
      <w:pPr>
        <w:spacing w:before="0" w:after="0"/>
        <w:ind w:left="120"/>
        <w:jc w:val="center"/>
      </w:pPr>
      <w:r>
        <w:rPr>
          <w:rFonts w:ascii="Times New Roman" w:hAnsi="Times New Roman"/>
          <w:b w:val="false"/>
          <w:i w:val="false"/>
          <w:color w:val="000000"/>
          <w:sz w:val="21"/>
        </w:rPr>
        <w:t>[Filed 7/23/07, Notice 5/23/07—published 8/15/07, effective 9/19/07]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9931B</w:t>
      </w:r>
      <w:r>
        <w:rPr>
          <w:rFonts w:ascii="Times New Roman" w:hAnsi="Times New Roman"/>
          <w:b w:val="false"/>
          <w:i w:val="false"/>
          <w:color w:val="000000"/>
          <w:sz w:val="21"/>
        </w:rPr>
        <w:t xml:space="preserve"> (Notice ARC 9780B, IAB 10/5/11)</w:t>
      </w:r>
      <w:r>
        <w:rPr>
          <w:rFonts w:ascii="Times New Roman" w:hAnsi="Times New Roman"/>
          <w:b w:val="false"/>
          <w:i w:val="false"/>
          <w:color w:val="000000"/>
          <w:sz w:val="21"/>
        </w:rPr>
        <w:t>, IAB 12/28/11, effective 2/1/12]</w:t>
      </w:r>
      <w:r>
        <w:br/>
      </w:r>
      <w:r>
        <w:rPr>
          <w:rFonts w:ascii="Times New Roman" w:hAnsi="Times New Roman"/>
          <w:b w:val="false"/>
          <w:i w:val="false"/>
          <w:color w:val="000000"/>
          <w:sz w:val="21"/>
        </w:rPr>
        <w:t>[Filed ARC 9932B</w:t>
      </w:r>
      <w:r>
        <w:rPr>
          <w:rFonts w:ascii="Times New Roman" w:hAnsi="Times New Roman"/>
          <w:b w:val="false"/>
          <w:i w:val="false"/>
          <w:color w:val="000000"/>
          <w:sz w:val="21"/>
        </w:rPr>
        <w:t xml:space="preserve"> (Notice ARC 9594B, IAB 7/13/11)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0537C</w:t>
      </w:r>
      <w:r>
        <w:rPr>
          <w:rFonts w:ascii="Times New Roman" w:hAnsi="Times New Roman"/>
          <w:b w:val="false"/>
          <w:i w:val="false"/>
          <w:color w:val="000000"/>
          <w:sz w:val="21"/>
        </w:rPr>
        <w:t xml:space="preserve"> (Notice ARC 0221C, IAB 7/25/12)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1453C</w:t>
      </w:r>
      <w:r>
        <w:rPr>
          <w:rFonts w:ascii="Times New Roman" w:hAnsi="Times New Roman"/>
          <w:b w:val="false"/>
          <w:i w:val="false"/>
          <w:color w:val="000000"/>
          <w:sz w:val="21"/>
        </w:rPr>
        <w:t xml:space="preserve"> (Notice ARC 1255C, IAB 12/25/13)</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2323C</w:t>
      </w:r>
      <w:r>
        <w:rPr>
          <w:rFonts w:ascii="Times New Roman" w:hAnsi="Times New Roman"/>
          <w:b w:val="false"/>
          <w:i w:val="false"/>
          <w:color w:val="000000"/>
          <w:sz w:val="21"/>
        </w:rPr>
        <w:t xml:space="preserve"> (Notice ARC 2224C,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3932C</w:t>
      </w:r>
      <w:r>
        <w:rPr>
          <w:rFonts w:ascii="Times New Roman" w:hAnsi="Times New Roman"/>
          <w:b w:val="false"/>
          <w:i w:val="false"/>
          <w:color w:val="000000"/>
          <w:sz w:val="21"/>
        </w:rPr>
        <w:t xml:space="preserve"> (Notice ARC 3617C, IAB 2/14/18)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4515C</w:t>
      </w:r>
      <w:r>
        <w:rPr>
          <w:rFonts w:ascii="Times New Roman" w:hAnsi="Times New Roman"/>
          <w:b w:val="false"/>
          <w:i w:val="false"/>
          <w:color w:val="000000"/>
          <w:sz w:val="21"/>
        </w:rPr>
        <w:t xml:space="preserve"> (Notice ARC 4259C, IAB 1/30/19)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6993C</w:t>
      </w:r>
      <w:r>
        <w:rPr>
          <w:rFonts w:ascii="Times New Roman" w:hAnsi="Times New Roman"/>
          <w:b w:val="false"/>
          <w:i w:val="false"/>
          <w:color w:val="000000"/>
          <w:sz w:val="21"/>
        </w:rPr>
        <w:t xml:space="preserve"> (Notice ARC 6654C,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8074C</w:t>
      </w:r>
      <w:r>
        <w:rPr>
          <w:rFonts w:ascii="Times New Roman" w:hAnsi="Times New Roman"/>
          <w:b w:val="false"/>
          <w:i w:val="false"/>
          <w:color w:val="000000"/>
          <w:sz w:val="21"/>
        </w:rPr>
        <w:t xml:space="preserve"> (Notice ARC 7504C,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21.3.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8G.pdf" Type="http://schemas.openxmlformats.org/officeDocument/2006/relationships/hyperlink" Id="rId7"/>
    <Relationship TargetMode="External" Target="https://www.legis.iowa.gov/docs/ico/chapter/152B.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