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SUBACUTE MENTAL HEALTH CARE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481—71.1</w:t>
      </w:r>
      <w:r>
        <w:rPr>
          <w:rFonts w:ascii="Times New Roman" w:hAnsi="Times New Roman"/>
          <w:b/>
          <w:i w:val="false"/>
          <w:color w:val="000000"/>
          <w:sz w:val="22"/>
        </w:rPr>
        <w:t xml:space="preserve">(135G) </w:t>
      </w:r>
      <w:r>
        <w:rPr>
          <w:rFonts w:ascii="Times New Roman" w:hAnsi="Times New Roman"/>
          <w:b/>
          <w:i w:val="false"/>
          <w:color w:val="000000"/>
          <w:sz w:val="22"/>
        </w:rPr>
        <w:t xml:space="preserve">Purpose—subacute mental health services. </w:t>
      </w:r>
      <w:r>
        <w:rPr>
          <w:rFonts w:ascii="Times New Roman" w:hAnsi="Times New Roman"/>
          <w:b w:val="false"/>
          <w:i w:val="false"/>
          <w:color w:val="000000"/>
          <w:sz w:val="22"/>
        </w:rPr>
        <w:t>Subacute mental health services are intended to be short-term, intensive, recovery-oriented services designed to stabilize an individual who is experiencing a decreased level of functioning due to a mental health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w:t>
      </w:r>
      <w:r>
        <w:rPr>
          <w:rFonts w:ascii="Times New Roman" w:hAnsi="Times New Roman"/>
          <w:b/>
          <w:i w:val="false"/>
          <w:color w:val="000000"/>
          <w:sz w:val="22"/>
        </w:rPr>
        <w:t xml:space="preserve">(135G)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meanings indicated in this chapter. The definitions set out in Iowa Code section </w:t>
      </w:r>
      <w:hyperlink r:id="rId5">
        <w:r>
          <w:rPr>
            <w:rStyle w:val="Hyperlink"/>
            <w:rFonts w:ascii="Times New Roman" w:hAnsi="Times New Roman"/>
            <w:b w:val="false"/>
            <w:i w:val="false"/>
            <w:color w:val="000000"/>
            <w:sz w:val="22"/>
          </w:rPr>
          <w:t>135G.1</w:t>
        </w:r>
      </w:hyperlink>
      <w:r>
        <w:rPr>
          <w:rFonts w:ascii="Times New Roman" w:hAnsi="Times New Roman"/>
          <w:b w:val="false"/>
          <w:i w:val="false"/>
          <w:color w:val="000000"/>
          <w:sz w:val="22"/>
        </w:rPr>
        <w:t xml:space="preserve"> are adopted by reference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an individual who administers, manages, supervises, and is in general administrative charge of a subacute care facility, whether or not such individual has an ownership interest in the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evaluation of a person in psychiatric crisis in order to ascertain the person’s current and previous level of functioning, psychiatric and medical history, potential for dangerousness, current psychiatric and medical condition factors contributing to the crisis and support systems that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“Distinct part” </w:t>
      </w:r>
      <w:r>
        <w:rPr>
          <w:rFonts w:ascii="Times New Roman" w:hAnsi="Times New Roman"/>
          <w:b w:val="false"/>
          <w:i w:val="false"/>
          <w:color w:val="000000"/>
          <w:sz w:val="22"/>
        </w:rPr>
        <w:t>means a clearly identifiable area or section within a health care facility, consisting of at least a residential unit, wing, floor, or building containing contiguous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means an unusual occurrence within a facility or on its premises affecting residents, visitors, or employees whether or not there is apparent injury or where hidden injury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w:t>
      </w:r>
      <w:r>
        <w:rPr>
          <w:rFonts w:ascii="Times New Roman" w:hAnsi="Times New Roman"/>
          <w:b w:val="false"/>
          <w:i w:val="false"/>
          <w:color w:val="000000"/>
          <w:sz w:val="22"/>
        </w:rPr>
        <w:t>means any drug including over-the-counter substances ordered and administered under the direction of a physician, physician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support” </w:t>
      </w:r>
      <w:r>
        <w:rPr>
          <w:rFonts w:ascii="Times New Roman" w:hAnsi="Times New Roman"/>
          <w:b w:val="false"/>
          <w:i w:val="false"/>
          <w:color w:val="000000"/>
          <w:sz w:val="22"/>
        </w:rPr>
        <w:t>means services that are provided by individuals in recovery from serious mental illness and delivered to others who also have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“Psychiatric care” </w:t>
      </w:r>
      <w:r>
        <w:rPr>
          <w:rFonts w:ascii="Times New Roman" w:hAnsi="Times New Roman"/>
          <w:b w:val="false"/>
          <w:i w:val="false"/>
          <w:color w:val="000000"/>
          <w:sz w:val="22"/>
        </w:rPr>
        <w:t>means the provision of care to patients in a psychiatric unit of an acute care hospital; a freestanding psychiatric hospital; or a mental health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w:t>
      </w:r>
      <w:r>
        <w:rPr>
          <w:rFonts w:ascii="Times New Roman" w:hAnsi="Times New Roman"/>
          <w:b w:val="false"/>
          <w:i w:val="false"/>
          <w:color w:val="000000"/>
          <w:sz w:val="22"/>
        </w:rPr>
        <w:t>means a process of change through which individuals improve their health and wellness, live a self-directed life, and strive to reach their full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principles” </w:t>
      </w:r>
      <w:r>
        <w:rPr>
          <w:rFonts w:ascii="Times New Roman" w:hAnsi="Times New Roman"/>
          <w:b w:val="false"/>
          <w:i w:val="false"/>
          <w:color w:val="000000"/>
          <w:sz w:val="22"/>
        </w:rPr>
        <w:t>means the ten guiding principles of recovery outlined by the federal Substance Abuse and Mental Health Services Administration (</w:t>
      </w:r>
      <w:hyperlink r:id="rId6">
        <w:r>
          <w:rPr>
            <w:rStyle w:val="Hyperlink"/>
            <w:rFonts w:ascii="Times New Roman" w:hAnsi="Times New Roman"/>
            <w:b w:val="false"/>
            <w:i w:val="false"/>
            <w:color w:val="000000"/>
            <w:sz w:val="22"/>
            <w:u w:val="single"/>
          </w:rPr>
          <w:t>www.samhsa.gov</w:t>
        </w:r>
      </w:hyperlink>
      <w:r>
        <w:rPr>
          <w:rFonts w:ascii="Times New Roman" w:hAnsi="Times New Roman"/>
          <w:b w:val="false"/>
          <w:i w:val="false"/>
          <w:color w:val="000000"/>
          <w:sz w:val="22"/>
        </w:rPr>
        <w:t>): hope, person-driven, many pathways, holistic, peer support, relational, culture, addresses trauma, strengths/responsibility, and respect.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 xml:space="preserve">means the person who signs or cosigns the admission agreement required in rule </w:t>
      </w:r>
      <w:hyperlink r:id="rId7">
        <w:r>
          <w:rPr>
            <w:rStyle w:val="Hyperlink"/>
            <w:rFonts w:ascii="Times New Roman" w:hAnsi="Times New Roman"/>
            <w:b w:val="false"/>
            <w:i w:val="false"/>
            <w:color w:val="000000"/>
            <w:sz w:val="22"/>
          </w:rPr>
          <w:t>481—71.13</w:t>
        </w:r>
      </w:hyperlink>
      <w:r>
        <w:rPr>
          <w:rFonts w:ascii="Times New Roman" w:hAnsi="Times New Roman"/>
          <w:b w:val="false"/>
          <w:i w:val="false"/>
          <w:color w:val="000000"/>
          <w:sz w:val="22"/>
        </w:rPr>
        <w:t>(135G) or the resident’s guardian or conservator if one has been appointed. In the event that a resident does not have a guardian, conservator or other person signing the admission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“Restraint” </w:t>
      </w:r>
      <w:r>
        <w:rPr>
          <w:rFonts w:ascii="Times New Roman" w:hAnsi="Times New Roman"/>
          <w:b w:val="false"/>
          <w:i w:val="false"/>
          <w:color w:val="000000"/>
          <w:sz w:val="22"/>
        </w:rPr>
        <w:t>means the application of physical force, use of a chemical agent, or a mechanical device for the purpose of restraining the free movement of an individual’s body to protect the individual or others from immediate harm. Restraint does not include briefly holding without undue force an individual to calm or comfort the individual or holding an individual’s hand to safely escort the individual from one area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means of egress” </w:t>
      </w:r>
      <w:r>
        <w:rPr>
          <w:rFonts w:ascii="Times New Roman" w:hAnsi="Times New Roman"/>
          <w:b w:val="false"/>
          <w:i w:val="false"/>
          <w:color w:val="000000"/>
          <w:sz w:val="22"/>
        </w:rPr>
        <w:t>means an exit door alarm system for safety of the residents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“Seclusion” </w:t>
      </w:r>
      <w:r>
        <w:rPr>
          <w:rFonts w:ascii="Times New Roman" w:hAnsi="Times New Roman"/>
          <w:b w:val="false"/>
          <w:i w:val="false"/>
          <w:color w:val="000000"/>
          <w:sz w:val="22"/>
        </w:rPr>
        <w:t>means the involuntary confinement of a resident alone in a room or an area from which the resident is physically prevented from leaving.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481—71.3</w:t>
      </w:r>
      <w:r>
        <w:rPr>
          <w:rFonts w:ascii="Times New Roman" w:hAnsi="Times New Roman"/>
          <w:b/>
          <w:i w:val="false"/>
          <w:color w:val="000000"/>
          <w:sz w:val="22"/>
        </w:rPr>
        <w:t xml:space="preserve">(135G)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and licensing. </w:t>
      </w:r>
      <w:r>
        <w:rPr>
          <w:rFonts w:ascii="Times New Roman" w:hAnsi="Times New Roman"/>
          <w:b w:val="false"/>
          <w:i w:val="false"/>
          <w:color w:val="000000"/>
          <w:sz w:val="22"/>
        </w:rPr>
        <w:t xml:space="preserve">In order to obtain an initial license for a subacute care facility, the applicant must meet all the requirements of the rules, regulations, and standards contained in Iowa Code chapter </w:t>
      </w:r>
      <w:hyperlink r:id="rId8">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 xml:space="preserve"> and in this chapter and must make application at least 30 days prior to the proposed licensure date of the subacute care facility on forms provided by the department.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résumé of care with a narrative which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target population and limitations on resident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the services the facility will provide, which shall minimally include specific and measurable goals and objectives for each of the services to be made available by the facility and a description of the resources needed to provide each of the services, including staff, physical facilities and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human services system available in the area including, but not limited to, social, public health, visiting nurse, vocational training, and employment services, residential living arrangements, and services of private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working relationships with human services agencies when applicable, which shall include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how the facility will coordinate with human services agencies to facilitate continuity of care and coordination of services to residents;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how the facility will coordinate with human services agencies to identify unnecessary duplication of services and plan for development and coordination of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facility drawn on 8½- × 11-inch paper showing room areas in proportion, room dimensions, room numbers for all rooms, including bathrooms, the designation of the use to which each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subacute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Show evidence of a certificate signed by the state fire marshal or deputy state fire marshal, or the designee of either, certifying compliance with fire safety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Conversion from an intermediate care facility for persons with mental illness. </w:t>
      </w:r>
      <w:r>
        <w:rPr>
          <w:rFonts w:ascii="Times New Roman" w:hAnsi="Times New Roman"/>
          <w:b w:val="false"/>
          <w:i w:val="false"/>
          <w:color w:val="000000"/>
          <w:sz w:val="22"/>
        </w:rPr>
        <w:t xml:space="preserve">An intermediate care facility for persons with mental illness may be converted to a subacute care facility pursuant to Iowa Code section </w:t>
      </w:r>
      <w:hyperlink r:id="rId9">
        <w:r>
          <w:rPr>
            <w:rStyle w:val="Hyperlink"/>
            <w:rFonts w:ascii="Times New Roman" w:hAnsi="Times New Roman"/>
            <w:b w:val="false"/>
            <w:i w:val="false"/>
            <w:color w:val="000000"/>
            <w:sz w:val="22"/>
          </w:rPr>
          <w:t>135G.4(2)</w:t>
        </w:r>
      </w:hyperlink>
      <w:r>
        <w:rPr>
          <w:rFonts w:ascii="Times New Roman" w:hAnsi="Times New Roman"/>
          <w:b w:val="false"/>
          <w:i w:val="false"/>
          <w:color w:val="000000"/>
          <w:sz w:val="22"/>
        </w:rPr>
        <w:t xml:space="preserve"> if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written notice to the department that the facility has employed a full-time psychiatrist and desires to make the conversion;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Submits an application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or change of ownership. </w:t>
      </w:r>
      <w:r>
        <w:rPr>
          <w:rFonts w:ascii="Times New Roman" w:hAnsi="Times New Roman"/>
          <w:b w:val="false"/>
          <w:i w:val="false"/>
          <w:color w:val="000000"/>
          <w:sz w:val="22"/>
        </w:rPr>
        <w:t>In order to obtain a renewal or change of the subacute care facility license,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to the department the completed application form 30 days prior to the annual license renewal or change of ownership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 subacute care facility with the application for renewal or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or the designee of either, certifying compliance with fire safety rules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appropriate changes in the résumé of care to reflect any changes in the resident care program or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Issuance of license. </w:t>
      </w:r>
      <w:r>
        <w:rPr>
          <w:rFonts w:ascii="Times New Roman" w:hAnsi="Times New Roman"/>
          <w:b w:val="false"/>
          <w:i w:val="false"/>
          <w:color w:val="000000"/>
          <w:sz w:val="22"/>
        </w:rPr>
        <w:t>Licenses are issued to the person or governmental unit with responsibility for the operation of the facility and authority to comply with all applicable statutes, rules or regulations. The person or governmental unit must be the owner of the facility or, if the facility is leased, the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Beds per facility. </w:t>
      </w:r>
      <w:r>
        <w:rPr>
          <w:rFonts w:ascii="Times New Roman" w:hAnsi="Times New Roman"/>
          <w:b w:val="false"/>
          <w:i w:val="false"/>
          <w:color w:val="000000"/>
          <w:sz w:val="22"/>
        </w:rPr>
        <w:t>A single facility shall not be licensed for more than 16 beds.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2068C</w:t>
      </w:r>
      <w:r>
        <w:rPr>
          <w:rFonts w:ascii="Times New Roman" w:hAnsi="Times New Roman"/>
          <w:b w:val="false"/>
          <w:i w:val="false"/>
          <w:color w:val="000000"/>
          <w:sz w:val="16"/>
        </w:rPr>
        <w:t>, IAB 7/22/15, effective 8/26/15</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481—71.4</w:t>
      </w:r>
      <w:r>
        <w:rPr>
          <w:rFonts w:ascii="Times New Roman" w:hAnsi="Times New Roman"/>
          <w:b/>
          <w:i w:val="false"/>
          <w:color w:val="000000"/>
          <w:sz w:val="22"/>
        </w:rPr>
        <w:t xml:space="preserve">(135G)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include specifically designated rooms within the facility, and provide separate categories of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 residents within that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distinct part must be operationally and financially feasible.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481—71.5</w:t>
      </w:r>
      <w:r>
        <w:rPr>
          <w:rFonts w:ascii="Times New Roman" w:hAnsi="Times New Roman"/>
          <w:b/>
          <w:i w:val="false"/>
          <w:color w:val="000000"/>
          <w:sz w:val="22"/>
        </w:rPr>
        <w:t xml:space="preserve">(135G)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Waivers from these rules may be granted by the director of the department if, in addition to the requirements of </w:t>
      </w:r>
      <w:hyperlink r:id="rId10">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need for a waiver has been established consistent with the résumé of care or the resident’s individual program plan;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danger to the health, safety, welfare, or rights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The waiver will apply only to a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Waivers shall be reviewed by the department at the time of each licensure survey to verify whether the facility is still eligible for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481—71.6</w:t>
      </w:r>
      <w:r>
        <w:rPr>
          <w:rFonts w:ascii="Times New Roman" w:hAnsi="Times New Roman"/>
          <w:b/>
          <w:i w:val="false"/>
          <w:color w:val="000000"/>
          <w:sz w:val="22"/>
        </w:rPr>
        <w:t xml:space="preserve">(135G) </w:t>
      </w:r>
      <w:r>
        <w:rPr>
          <w:rFonts w:ascii="Times New Roman" w:hAnsi="Times New Roman"/>
          <w:b/>
          <w:i w:val="false"/>
          <w:color w:val="000000"/>
          <w:sz w:val="22"/>
        </w:rPr>
        <w:t xml:space="preserve">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procedure. </w:t>
      </w:r>
      <w:r>
        <w:rPr>
          <w:rFonts w:ascii="Times New Roman" w:hAnsi="Times New Roman"/>
          <w:b w:val="false"/>
          <w:i w:val="false"/>
          <w:color w:val="000000"/>
          <w:sz w:val="22"/>
        </w:rPr>
        <w:t xml:space="preserve">The department may issue a provisional license to a subacute care facility pursuant to Iowa Code section </w:t>
      </w:r>
      <w:hyperlink r:id="rId11">
        <w:r>
          <w:rPr>
            <w:rStyle w:val="Hyperlink"/>
            <w:rFonts w:ascii="Times New Roman" w:hAnsi="Times New Roman"/>
            <w:b w:val="false"/>
            <w:i w:val="false"/>
            <w:color w:val="000000"/>
            <w:sz w:val="22"/>
          </w:rPr>
          <w:t>135G.8</w:t>
        </w:r>
      </w:hyperlink>
      <w:r>
        <w:rPr>
          <w:rFonts w:ascii="Times New Roman" w:hAnsi="Times New Roman"/>
          <w:b w:val="false"/>
          <w:i w:val="false"/>
          <w:color w:val="000000"/>
          <w:sz w:val="22"/>
        </w:rPr>
        <w:t>. The procedure for issuance of a provisional license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first issue to the facility a report which identifies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10 working days after receipt of the report, the facility shall provide the department with a written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written plan of correction within 10 working days of receipt. The department may request additional information or revision to the plan, which shall be provided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accepting the written plan of correction, the department shall then issue a provisional license to the facility, which shall not exceed one year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Written plan of correction. </w:t>
      </w:r>
      <w:r>
        <w:rPr>
          <w:rFonts w:ascii="Times New Roman" w:hAnsi="Times New Roman"/>
          <w:b w:val="false"/>
          <w:i w:val="false"/>
          <w:color w:val="000000"/>
          <w:sz w:val="22"/>
        </w:rPr>
        <w:t>The written plan of correction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the facility will correct the deficient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the facility will act to protect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measures the facility will take or the systems it will alter to ensure that the deficient practice does not recur;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when the plan of correction will be completed, not to exceed 30 days from the date of the department’s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481—71.7</w:t>
      </w:r>
      <w:r>
        <w:rPr>
          <w:rFonts w:ascii="Times New Roman" w:hAnsi="Times New Roman"/>
          <w:b/>
          <w:i w:val="false"/>
          <w:color w:val="000000"/>
          <w:sz w:val="22"/>
        </w:rPr>
        <w:t xml:space="preserve">(135G)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the facility in a conspicuous place which is viewed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for the premises and person named on the license and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posted license shall accurately reflect the current status of the subacute care facility’s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val="false"/>
          <w:color w:val="000000"/>
          <w:sz w:val="22"/>
        </w:rPr>
        <w:t>A license shall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added than are stipulated on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481—71.8</w:t>
      </w:r>
      <w:r>
        <w:rPr>
          <w:rFonts w:ascii="Times New Roman" w:hAnsi="Times New Roman"/>
          <w:b/>
          <w:i w:val="false"/>
          <w:color w:val="000000"/>
          <w:sz w:val="22"/>
        </w:rPr>
        <w:t xml:space="preserve">(135G) </w:t>
      </w:r>
      <w:r>
        <w:rPr>
          <w:rFonts w:ascii="Times New Roman" w:hAnsi="Times New Roman"/>
          <w:b/>
          <w:i w:val="false"/>
          <w:color w:val="000000"/>
          <w:sz w:val="22"/>
        </w:rPr>
        <w:t xml:space="preserve">Required notifications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any proposed change in the subacute care facility’s functional operation or the addition or deletion of required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addition, alteration, or new construction is begun in the subacute care facility or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any closure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30 days of the date on which any change in the category of license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Within 30 days of any proposed change in the résumé of care for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 subacute care facility,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sale, transfer, assignment, or lease of the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at least 30 days before the sale, transfer, assignment, or lease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Within 24 hours, or the next business day, by the most expeditious means available, 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Of any accident causing major injury. “Major injury” shall be defined as any injury which: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Requires admission to a higher level of care for treatment, other than for observation;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consultation with the attending physician, designee of the physician, physician assistant, or advanced registered nurse practitioner who determines, in writing, on a form designated by the department, that an injury is a “major injury” based upon the circumstances of the accident, the previous functional ability of the resident, and the resident’s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resident attempts suicide, regardless of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damage to the facility is caused by a natural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fire occurs in a facility and the fire requires the notification of emergency services, requires full or partial evacuation of the facility, or causes physical injury to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defect or failure occurs in the fire sprinkler system for more than 10 hours or fire alarm system for more than 4 hours in a 24-hour period. (This reporting requirement is in addition to the requirement to notify the state fire marshal or the state fire marshal’s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481—71.9</w:t>
      </w:r>
      <w:r>
        <w:rPr>
          <w:rFonts w:ascii="Times New Roman" w:hAnsi="Times New Roman"/>
          <w:b/>
          <w:i w:val="false"/>
          <w:color w:val="000000"/>
          <w:sz w:val="22"/>
        </w:rPr>
        <w:t xml:space="preserve">(135G) </w:t>
      </w:r>
      <w:r>
        <w:rPr>
          <w:rFonts w:ascii="Times New Roman" w:hAnsi="Times New Roman"/>
          <w:b/>
          <w:i w:val="false"/>
          <w:color w:val="000000"/>
          <w:sz w:val="22"/>
        </w:rPr>
        <w:t xml:space="preserve">Reports of dependent adult abuse. </w:t>
      </w:r>
      <w:r>
        <w:rPr>
          <w:rFonts w:ascii="Times New Roman" w:hAnsi="Times New Roman"/>
          <w:b w:val="false"/>
          <w:i w:val="false"/>
          <w:color w:val="000000"/>
          <w:sz w:val="22"/>
        </w:rPr>
        <w:t>Reports of suspected dependent adult abuse shall be made to the department of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481—71.10</w:t>
      </w:r>
      <w:r>
        <w:rPr>
          <w:rFonts w:ascii="Times New Roman" w:hAnsi="Times New Roman"/>
          <w:b/>
          <w:i w:val="false"/>
          <w:color w:val="000000"/>
          <w:sz w:val="22"/>
        </w:rPr>
        <w:t xml:space="preserve">(135G) </w:t>
      </w:r>
      <w:r>
        <w:rPr>
          <w:rFonts w:ascii="Times New Roman" w:hAnsi="Times New Roman"/>
          <w:b/>
          <w:i w:val="false"/>
          <w:color w:val="000000"/>
          <w:sz w:val="22"/>
        </w:rPr>
        <w:t xml:space="preserve">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71.10(1)</w:t>
      </w:r>
      <w:r>
        <w:rPr>
          <w:rFonts w:ascii="Times New Roman" w:hAnsi="Times New Roman"/>
          <w:b w:val="false"/>
          <w:i w:val="false"/>
          <w:color w:val="000000"/>
          <w:sz w:val="22"/>
        </w:rPr>
        <w:t> </w:t>
      </w:r>
      <w:r>
        <w:rPr>
          <w:rFonts w:ascii="Times New Roman" w:hAnsi="Times New Roman"/>
          <w:b w:val="false"/>
          <w:i/>
          <w:color w:val="000000"/>
          <w:sz w:val="22"/>
        </w:rPr>
        <w:t xml:space="preserve">Administrator required. </w:t>
      </w:r>
      <w:r>
        <w:rPr>
          <w:rFonts w:ascii="Times New Roman" w:hAnsi="Times New Roman"/>
          <w:b w:val="false"/>
          <w:i w:val="false"/>
          <w:color w:val="000000"/>
          <w:sz w:val="22"/>
        </w:rPr>
        <w:t>Each subacute care facility shall have one person in charge who is duly approved by the department or acting in a provisional capacity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an administrator. </w:t>
      </w:r>
      <w:r>
        <w:rPr>
          <w:rFonts w:ascii="Times New Roman" w:hAnsi="Times New Roman"/>
          <w:b w:val="false"/>
          <w:i w:val="false"/>
          <w:color w:val="000000"/>
          <w:sz w:val="22"/>
        </w:rPr>
        <w:t>The administrator shall be at least 21 years of age and shall have a high school diploma or equivalent. In addition, the person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a mental health professional, as defined in Iowa Code section </w:t>
      </w:r>
      <w:hyperlink r:id="rId12">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 with at least one year of experience in an administrative capacity;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four-year degree in human services, psychology, sociology, nursing, health care administration, public administration, or a related field and have a minimum of one year of experience in the field;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master’s degree in human services, psychology, sociology, nursing, health care administration, public administration, or a related field;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licensed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71.10(3)</w:t>
      </w:r>
      <w:r>
        <w:rPr>
          <w:rFonts w:ascii="Times New Roman" w:hAnsi="Times New Roman"/>
          <w:b w:val="false"/>
          <w:i w:val="false"/>
          <w:color w:val="000000"/>
          <w:sz w:val="22"/>
        </w:rPr>
        <w:t> </w:t>
      </w:r>
      <w:r>
        <w:rPr>
          <w:rFonts w:ascii="Times New Roman" w:hAnsi="Times New Roman"/>
          <w:b w:val="false"/>
          <w:i/>
          <w:color w:val="000000"/>
          <w:sz w:val="22"/>
        </w:rPr>
        <w:t xml:space="preserve">Administrator—distinct part. </w:t>
      </w:r>
      <w:r>
        <w:rPr>
          <w:rFonts w:ascii="Times New Roman" w:hAnsi="Times New Roman"/>
          <w:b w:val="false"/>
          <w:i w:val="false"/>
          <w:color w:val="000000"/>
          <w:sz w:val="22"/>
        </w:rPr>
        <w:t>If a subacute care facility is a distinct part of a licensed health care facility, the administrator of the facility as a whole may serve as the administrator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71.10(4)</w:t>
      </w:r>
      <w:r>
        <w:rPr>
          <w:rFonts w:ascii="Times New Roman" w:hAnsi="Times New Roman"/>
          <w:b w:val="false"/>
          <w:i w:val="false"/>
          <w:color w:val="000000"/>
          <w:sz w:val="22"/>
        </w:rPr>
        <w:t> </w:t>
      </w:r>
      <w:r>
        <w:rPr>
          <w:rFonts w:ascii="Times New Roman" w:hAnsi="Times New Roman"/>
          <w:b w:val="false"/>
          <w:i/>
          <w:color w:val="000000"/>
          <w:sz w:val="22"/>
        </w:rPr>
        <w:t xml:space="preserve">Provisional administrator. </w:t>
      </w:r>
      <w:r>
        <w:rPr>
          <w:rFonts w:ascii="Times New Roman" w:hAnsi="Times New Roman"/>
          <w:b w:val="false"/>
          <w:i w:val="false"/>
          <w:color w:val="000000"/>
          <w:sz w:val="22"/>
        </w:rPr>
        <w:t xml:space="preserve">A provisional administrator may be appointed on a temporary basis by the subacute care facility licensee to assume the administrative responsibilities of the facility for a period not to exceed 12 months when the facility has, through no fault of its own, lost its administrator and has not been able to replace the administrator, provided the department has been notified and has approved the provisional administrator prior to the date of the administrator’s appointment. The provisional administrator must meet the requirements of subrule </w:t>
      </w:r>
      <w:hyperlink r:id="rId13">
        <w:r>
          <w:rPr>
            <w:rStyle w:val="Hyperlink"/>
            <w:rFonts w:ascii="Times New Roman" w:hAnsi="Times New Roman"/>
            <w:b w:val="false"/>
            <w:i w:val="false"/>
            <w:color w:val="000000"/>
            <w:sz w:val="22"/>
          </w:rPr>
          <w:t>71.10(2)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71.10(5)</w:t>
      </w:r>
      <w:r>
        <w:rPr>
          <w:rFonts w:ascii="Times New Roman" w:hAnsi="Times New Roman"/>
          <w:b w:val="false"/>
          <w:i w:val="false"/>
          <w:color w:val="000000"/>
          <w:sz w:val="22"/>
        </w:rPr>
        <w:t> </w:t>
      </w:r>
      <w:r>
        <w:rPr>
          <w:rFonts w:ascii="Times New Roman" w:hAnsi="Times New Roman"/>
          <w:b w:val="false"/>
          <w:i/>
          <w:color w:val="000000"/>
          <w:sz w:val="22"/>
        </w:rPr>
        <w:t xml:space="preserve">Administrator—initial licensing of facility. </w:t>
      </w:r>
      <w:r>
        <w:rPr>
          <w:rFonts w:ascii="Times New Roman" w:hAnsi="Times New Roman"/>
          <w:b w:val="false"/>
          <w:i w:val="false"/>
          <w:color w:val="000000"/>
          <w:sz w:val="22"/>
        </w:rPr>
        <w:t>A facility applying for an initial license shall not have a provisional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71.10(6)</w:t>
      </w:r>
      <w:r>
        <w:rPr>
          <w:rFonts w:ascii="Times New Roman" w:hAnsi="Times New Roman"/>
          <w:b w:val="false"/>
          <w:i w:val="false"/>
          <w:color w:val="000000"/>
          <w:sz w:val="22"/>
        </w:rPr>
        <w:t> </w:t>
      </w:r>
      <w:r>
        <w:rPr>
          <w:rFonts w:ascii="Times New Roman" w:hAnsi="Times New Roman"/>
          <w:b w:val="false"/>
          <w:i/>
          <w:color w:val="000000"/>
          <w:sz w:val="22"/>
        </w:rPr>
        <w:t xml:space="preserve">Duties of administrator. </w:t>
      </w:r>
      <w:r>
        <w:rPr>
          <w:rFonts w:ascii="Times New Roman" w:hAnsi="Times New Roman"/>
          <w:b w:val="false"/>
          <w:i w:val="false"/>
          <w:color w:val="000000"/>
          <w:sz w:val="22"/>
        </w:rPr>
        <w:t>An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implementation of procedures to support the policies established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 and direct competent personnel who provide services for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 policies and procedures manual available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responsible for a monthly in-service educational program for all employees and maintain records of programs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staff payroll records available for departmental review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Furnish to the department within 30 days of the department’s request statistical information concerning the operation of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481—71.11</w:t>
      </w:r>
      <w:r>
        <w:rPr>
          <w:rFonts w:ascii="Times New Roman" w:hAnsi="Times New Roman"/>
          <w:b/>
          <w:i w:val="false"/>
          <w:color w:val="000000"/>
          <w:sz w:val="22"/>
        </w:rPr>
        <w:t xml:space="preserve">(135G)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71.11(1)</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written policies, which shall be available for review, for the operation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71.11(2)</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and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Crisis intervention, including restraint and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Involuntary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 rights.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481—71.12</w:t>
      </w:r>
      <w:r>
        <w:rPr>
          <w:rFonts w:ascii="Times New Roman" w:hAnsi="Times New Roman"/>
          <w:b/>
          <w:i w:val="false"/>
          <w:color w:val="000000"/>
          <w:sz w:val="22"/>
        </w:rPr>
        <w:t xml:space="preserve">(135G)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w:t>
      </w:r>
      <w:r>
        <w:rPr>
          <w:rFonts w:ascii="Times New Roman" w:hAnsi="Times New Roman"/>
          <w:b w:val="false"/>
          <w:i w:val="false"/>
          <w:color w:val="000000"/>
          <w:sz w:val="22"/>
        </w:rPr>
        <w:t> </w:t>
      </w:r>
      <w:r>
        <w:rPr>
          <w:rFonts w:ascii="Times New Roman" w:hAnsi="Times New Roman"/>
          <w:b w:val="false"/>
          <w:i w:val="false"/>
          <w:color w:val="000000"/>
          <w:sz w:val="22"/>
        </w:rPr>
        <w:t>Staffing requirements. Availability of personnel must be sufficient to meet psychiatric and medical treatment needs of the residents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71.12(2)</w:t>
      </w:r>
      <w:r>
        <w:rPr>
          <w:rFonts w:ascii="Times New Roman" w:hAnsi="Times New Roman"/>
          <w:b w:val="false"/>
          <w:i w:val="false"/>
          <w:color w:val="000000"/>
          <w:sz w:val="22"/>
        </w:rPr>
        <w:t> </w:t>
      </w:r>
      <w:r>
        <w:rPr>
          <w:rFonts w:ascii="Times New Roman" w:hAnsi="Times New Roman"/>
          <w:b w:val="false"/>
          <w:i w:val="false"/>
          <w:color w:val="000000"/>
          <w:sz w:val="22"/>
        </w:rPr>
        <w:t>Staffing shall include at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Twenty-four-hour-per-day, seven-day-per-week availability of on-call psychiatrist or advanced registered nurse practitioner with at least one year of experience in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Twenty-four-hour-per-day, seven-day-per-week availability of on-call registered nurse with at least two years of experience in psychiatric care or a registered nurse with a bachelor of science in nursing (BSN) and at least one year of experience in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mental health professional as defined in Iowa Code section </w:t>
      </w:r>
      <w:hyperlink r:id="rId14">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 care staff with at least one year of experience in a mental health care setting;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service staff at the bachelor level with at least one year of experience in a mental health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71.12(3)</w:t>
      </w:r>
      <w:r>
        <w:rPr>
          <w:rFonts w:ascii="Times New Roman" w:hAnsi="Times New Roman"/>
          <w:b w:val="false"/>
          <w:i w:val="false"/>
          <w:color w:val="000000"/>
          <w:sz w:val="22"/>
        </w:rPr>
        <w:t> </w:t>
      </w:r>
      <w:r>
        <w:rPr>
          <w:rFonts w:ascii="Times New Roman" w:hAnsi="Times New Roman"/>
          <w:b w:val="false"/>
          <w:i w:val="false"/>
          <w:color w:val="000000"/>
          <w:sz w:val="22"/>
        </w:rPr>
        <w:t>Personnel policies and procedures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job descriptions for all employees or agreements for all consultants, which include duties and responsibilities, education, experience, or other requirements, and supervisory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evaluations of all employees and consultants which are dated and signed by the employee or consultant and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records which are current, accurate, complete, and confidential to the extent allowed by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 shall contain documentation of how the employee’s or consultant’s education and experience are relevant to the position for which the employee or consultant was hired.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record shall contain documentation of criminal history, child abuse and dependent adult abuse record checks, which shall be conducted prior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Roles, responsibilities, and limitations of student interns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orientation program for all newly hired employees and consultants that includes an introduction to the facility’s personnel policies and procedures and a discussion of the facility’s safety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Equal opportunity and affirmative action employment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disciplining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Appropriate dress and personal hygiene for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overview of recovery principles, person-centered planning and residents’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require regular health examinations for all personnel. Employees shall have a health examination within 12 months prior to beginning employment and regular examinations thereafter at least every four years. The examination shall include, at a minimum, the health status of the employee, including screening and testing for tuberculosis as described in </w:t>
      </w:r>
      <w:hyperlink r:id="rId15">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be allowed to provide services in a facility if the person has a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Which is transmissible through required workplace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Which presents a significant risk of infecting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Which presents a substantial possibility of harming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no reasonable accommodation can eliminate the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emergency medical care for employees in case of sudden illness or accident. These policies shall include the administrative individuals to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Health certificates for all employees shall be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71.12(5)</w:t>
      </w:r>
      <w:r>
        <w:rPr>
          <w:rFonts w:ascii="Times New Roman" w:hAnsi="Times New Roman"/>
          <w:b w:val="false"/>
          <w:i w:val="false"/>
          <w:color w:val="000000"/>
          <w:sz w:val="22"/>
        </w:rPr>
        <w:t> </w:t>
      </w:r>
      <w:r>
        <w:rPr>
          <w:rFonts w:ascii="Times New Roman" w:hAnsi="Times New Roman"/>
          <w:b w:val="false"/>
          <w:i w:val="false"/>
          <w:color w:val="000000"/>
          <w:sz w:val="22"/>
        </w:rPr>
        <w:t>Personnel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personnel record shall be kept for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shall include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Position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of experience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Criminal history, child abuse and dependent adult abuse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Staff training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Documentation of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Date and reason for discharge or resignation,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Current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71.12(6)</w:t>
      </w:r>
      <w:r>
        <w:rPr>
          <w:rFonts w:ascii="Times New Roman" w:hAnsi="Times New Roman"/>
          <w:b w:val="false"/>
          <w:i w:val="false"/>
          <w:color w:val="000000"/>
          <w:sz w:val="22"/>
        </w:rPr>
        <w:t> </w:t>
      </w:r>
      <w:r>
        <w:rPr>
          <w:rFonts w:ascii="Times New Roman" w:hAnsi="Times New Roman"/>
          <w:b w:val="false"/>
          <w:i w:val="false"/>
          <w:color w:val="000000"/>
          <w:sz w:val="22"/>
        </w:rPr>
        <w:t>Orders for medications and treatments shall be correctly implemented by qualified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481—71.13</w:t>
      </w:r>
      <w:r>
        <w:rPr>
          <w:rFonts w:ascii="Times New Roman" w:hAnsi="Times New Roman"/>
          <w:b/>
          <w:i w:val="false"/>
          <w:color w:val="000000"/>
          <w:sz w:val="22"/>
        </w:rPr>
        <w:t xml:space="preserve">(135G)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not admit or retain a resident who is in need of greater services than the facility can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admission of an applicant, the facility shall obtain sufficient information to determine if its program is appropriate and adequate to meet the individual’s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admit only as many residents as indicated by the number of beds for which the facility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subacute care facility shall adopt policies regarding the admission requirements outlined in subrule </w:t>
      </w:r>
      <w:hyperlink r:id="rId16">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71.13(2)</w:t>
      </w:r>
      <w:r>
        <w:rPr>
          <w:rFonts w:ascii="Times New Roman" w:hAnsi="Times New Roman"/>
          <w:b w:val="false"/>
          <w:i w:val="false"/>
          <w:color w:val="000000"/>
          <w:sz w:val="22"/>
        </w:rPr>
        <w:t> </w:t>
      </w:r>
      <w:r>
        <w:rPr>
          <w:rFonts w:ascii="Times New Roman" w:hAnsi="Times New Roman"/>
          <w:b w:val="false"/>
          <w:i/>
          <w:color w:val="000000"/>
          <w:sz w:val="22"/>
        </w:rPr>
        <w:t xml:space="preserve">Admission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individualized subacute mental health services will be determined by the standardized preadmission screening utilized by the facility. The screening shall be conducted by a mental health professional as defined in Iowa Code section </w:t>
      </w:r>
      <w:hyperlink r:id="rId17">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 a physician, a physician assistant, or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be admitted, the individual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18 years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the past year, have had a diagnosable mental, behavioral or emotional disorder that meets the diagnostic criteria specified in the most current edition of the Diagnostic and Statistical Manual of Mental Disorders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a high degree of impairment through significantly impaired mental, social, or educational functioning arising from the psychiatric condition or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an impairment that severely limits the skills necessary to maintain an adequate level of functioning outside a treatment program and requires active treatment to obtain an adequate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a low level of stability through any two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presents moderate to high risk of danger to self or others.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lacks adequate skills or social support to address mental health symptoms.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 is medically stable but requires observation and care for stabilization of a mental health condition or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71.13(3)</w:t>
      </w:r>
      <w:r>
        <w:rPr>
          <w:rFonts w:ascii="Times New Roman" w:hAnsi="Times New Roman"/>
          <w:b w:val="false"/>
          <w:i w:val="false"/>
          <w:color w:val="000000"/>
          <w:sz w:val="22"/>
        </w:rPr>
        <w:t> </w:t>
      </w:r>
      <w:r>
        <w:rPr>
          <w:rFonts w:ascii="Times New Roman" w:hAnsi="Times New Roman"/>
          <w:b w:val="false"/>
          <w:i/>
          <w:color w:val="000000"/>
          <w:sz w:val="22"/>
        </w:rPr>
        <w:t xml:space="preserve">Admission agreement. </w:t>
      </w:r>
      <w:r>
        <w:rPr>
          <w:rFonts w:ascii="Times New Roman" w:hAnsi="Times New Roman"/>
          <w:b w:val="false"/>
          <w:i w:val="false"/>
          <w:color w:val="000000"/>
          <w:sz w:val="22"/>
        </w:rPr>
        <w:t>A subacute care facility shall provide an admission agreement to each resident upon admission to the facility. Each admission agreement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Schedule of services and any additional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facility’s policies regarding length of stay, discharge and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71.13(4)</w:t>
      </w:r>
      <w:r>
        <w:rPr>
          <w:rFonts w:ascii="Times New Roman" w:hAnsi="Times New Roman"/>
          <w:b w:val="false"/>
          <w:i w:val="false"/>
          <w:color w:val="000000"/>
          <w:sz w:val="22"/>
        </w:rPr>
        <w:t> </w:t>
      </w:r>
      <w:r>
        <w:rPr>
          <w:rFonts w:ascii="Times New Roman" w:hAnsi="Times New Roman"/>
          <w:b w:val="false"/>
          <w:i/>
          <w:color w:val="000000"/>
          <w:sz w:val="22"/>
        </w:rPr>
        <w:t xml:space="preserve">Exclusion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not admit an individual into the facility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manifests behavioral or psychiatric symptoms that require acute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can be safely maintained and effectively treated with less intensive services in a community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symptoms of the individual do not meet admission criteria in subrule </w:t>
      </w:r>
      <w:hyperlink r:id="rId18">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individual’s lack of adequate place of residence, placement, or housing is not reason to receive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71.13(5)</w:t>
      </w:r>
      <w:r>
        <w:rPr>
          <w:rFonts w:ascii="Times New Roman" w:hAnsi="Times New Roman"/>
          <w:b w:val="false"/>
          <w:i w:val="false"/>
          <w:color w:val="000000"/>
          <w:sz w:val="22"/>
        </w:rPr>
        <w:t> </w:t>
      </w:r>
      <w:r>
        <w:rPr>
          <w:rFonts w:ascii="Times New Roman" w:hAnsi="Times New Roman"/>
          <w:b w:val="false"/>
          <w:i/>
          <w:color w:val="000000"/>
          <w:sz w:val="22"/>
        </w:rPr>
        <w:t xml:space="preserve">Continued stay criteria policies. </w:t>
      </w:r>
      <w:r>
        <w:rPr>
          <w:rFonts w:ascii="Times New Roman" w:hAnsi="Times New Roman"/>
          <w:b w:val="false"/>
          <w:i w:val="false"/>
          <w:color w:val="000000"/>
          <w:sz w:val="22"/>
        </w:rPr>
        <w:t>By the tenth day following admission and every ten calendar days thereafter, the mental health professional shall conduct and document an assessment of the resident and determine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severity of the behavioral and emotional symptoms continues to require the subacute level of intervention and the DSM diagnosis remains the principal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prescribed interventions remain consistent with the intended treatment plan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documented evidence of active, individualized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reasonable likelihood of substantial benefit in the resident’s mental health condition as a result of active intervention of the 24-hour supervised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Symptoms and behaviors that required admission are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less intensive level of care would be insufficient to stabilize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New issues that meet the admission guidelines in subrule </w:t>
      </w:r>
      <w:hyperlink r:id="rId19">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 xml:space="preserve"> have appeared.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resident requires further stabilization subsequent to acute care to treat active mental health symptoms such as psychosis, depression or mood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71.13(6)</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policies. </w:t>
      </w:r>
      <w:r>
        <w:rPr>
          <w:rFonts w:ascii="Times New Roman" w:hAnsi="Times New Roman"/>
          <w:b w:val="false"/>
          <w:i w:val="false"/>
          <w:color w:val="000000"/>
          <w:sz w:val="22"/>
        </w:rPr>
        <w:t>A resident may be discharged from subacute level of care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treatment plan goals and objectives for subacute services have been met and a discharge plan to outpatient or other community-based services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physical condition necessitates transfer to a more intensive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resident is not making progress toward treatment goals and there is no reasonable expectation of progress at the subacute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 becomes a danger to self, others, or facility structure and requires an emergency transfer to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resident repeatedly refuses to participate in the resident’s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71.13(7)</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give prior notification to the resident, as well as the resident’s next of kin, legal representative, attending physician or advanced registered nurse practitioner, and sponsoring agency, if any, prior to transfer or discharge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subacute care facility shall make proper arrangements for the welfare of the resident prior to transfer or discharge in the event of an emergency or inability to reach the next of kin or legal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make advance notification to the receiving facility prior to the transfer of any resident if the resident is to be transferred to another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be made no less than 24 hours prior to transfer unless paragraph </w:t>
      </w:r>
      <w:hyperlink r:id="rId20">
        <w:r>
          <w:rPr>
            <w:rStyle w:val="Hyperlink"/>
            <w:rFonts w:ascii="Times New Roman" w:hAnsi="Times New Roman"/>
            <w:b w:val="false"/>
            <w:i w:val="false"/>
            <w:color w:val="000000"/>
            <w:sz w:val="22"/>
          </w:rPr>
          <w:t>71.13(6)</w:t>
        </w:r>
      </w:hyperlink>
      <w:r>
        <w:rPr>
          <w:rFonts w:ascii="Times New Roman" w:hAnsi="Times New Roman"/>
          <w:b w:val="false"/>
          <w:i/>
          <w:color w:val="000000"/>
          <w:sz w:val="22"/>
        </w:rPr>
        <w:t>“d”</w:t>
      </w:r>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record as set forth in subrule </w:t>
      </w:r>
      <w:hyperlink r:id="rId21">
        <w:r>
          <w:rPr>
            <w:rStyle w:val="Hyperlink"/>
            <w:rFonts w:ascii="Times New Roman" w:hAnsi="Times New Roman"/>
            <w:b w:val="false"/>
            <w:i w:val="false"/>
            <w:color w:val="000000"/>
            <w:sz w:val="22"/>
          </w:rPr>
          <w:t>71.20(1)</w:t>
        </w:r>
      </w:hyperlink>
      <w:r>
        <w:rPr>
          <w:rFonts w:ascii="Times New Roman" w:hAnsi="Times New Roman"/>
          <w:b w:val="false"/>
          <w:i w:val="false"/>
          <w:color w:val="000000"/>
          <w:sz w:val="22"/>
        </w:rPr>
        <w:t xml:space="preserve"> shall accompany the resident when the resident is transferred or discharged.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2068C</w:t>
      </w:r>
      <w:r>
        <w:rPr>
          <w:rFonts w:ascii="Times New Roman" w:hAnsi="Times New Roman"/>
          <w:b w:val="false"/>
          <w:i w:val="false"/>
          <w:color w:val="000000"/>
          <w:sz w:val="16"/>
        </w:rPr>
        <w:t>, IAB 7/22/15, effective 8/26/15</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481—71.14</w:t>
      </w:r>
      <w:r>
        <w:rPr>
          <w:rFonts w:ascii="Times New Roman" w:hAnsi="Times New Roman"/>
          <w:b/>
          <w:i w:val="false"/>
          <w:color w:val="000000"/>
          <w:sz w:val="22"/>
        </w:rPr>
        <w:t xml:space="preserve">(135G) </w:t>
      </w:r>
      <w:r>
        <w:rPr>
          <w:rFonts w:ascii="Times New Roman" w:hAnsi="Times New Roman"/>
          <w:b/>
          <w:i w:val="false"/>
          <w:color w:val="000000"/>
          <w:sz w:val="22"/>
        </w:rPr>
        <w:t xml:space="preserve">Treatment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71.14(1)</w:t>
      </w:r>
      <w:r>
        <w:rPr>
          <w:rFonts w:ascii="Times New Roman" w:hAnsi="Times New Roman"/>
          <w:b w:val="false"/>
          <w:i w:val="false"/>
          <w:color w:val="000000"/>
          <w:sz w:val="22"/>
        </w:rPr>
        <w:t> </w:t>
      </w:r>
      <w:r>
        <w:rPr>
          <w:rFonts w:ascii="Times New Roman" w:hAnsi="Times New Roman"/>
          <w:b w:val="false"/>
          <w:i w:val="false"/>
          <w:color w:val="000000"/>
          <w:sz w:val="22"/>
        </w:rPr>
        <w:t>A treatment plan must be developed with each resident. The plan must be based on initial and ongoing assessment of need, be designed to resolve the acute or crisis mental health symptoms or the imminent risk of acute or crisis mental health symptoms, and be completed within six hours of admission, or no later than 12 noon following admission if the resident is admitted between 8 p.m. and 6 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 must be documented in the resident’s record and must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the plan is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Standardized diagnostic formulations, including but not limited to the current Diagnostic and Statistical Manual (DSM) or the current International Statistical Classification of Diseases and Related Health Problems (ICD).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Problems and strengths of the resident that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Observable and measurable individual objectives that relate to the specific problems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Interventions that address specific objectives, identification of staff responsible for interventions, and planned frequency of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Signatures of mental health professionals responsible for developing the plan, including the qualified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Signatures of the resident and any parent, guardian, conservator, or legal custodian. Reasons for refusal to sign or inability to participate in treatment plan development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projected discharge date and anticipated postdischarge needs, including documentation of resources needed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Review of the treatment plan by the appropriate treatment staff at least daily and upon completion of the stated goals or objectives and documentation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Progress toward each treatment objective, with revisions as indicated;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Status of discharge plans, including availability of resources needed by the resident in the community, with revisions as indicated.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481—71.15</w:t>
      </w:r>
      <w:r>
        <w:rPr>
          <w:rFonts w:ascii="Times New Roman" w:hAnsi="Times New Roman"/>
          <w:b/>
          <w:i w:val="false"/>
          <w:color w:val="000000"/>
          <w:sz w:val="22"/>
        </w:rPr>
        <w:t xml:space="preserve">(135G) </w:t>
      </w:r>
      <w:r>
        <w:rPr>
          <w:rFonts w:ascii="Times New Roman" w:hAnsi="Times New Roman"/>
          <w:b/>
          <w:i w:val="false"/>
          <w:color w:val="000000"/>
          <w:sz w:val="22"/>
        </w:rPr>
        <w:t xml:space="preserve">Crisis 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concerning crisis intervention. These policies and procedures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Directed to maximizing the growth and development of the individual by incorporating a hierarchy of available alternative methods that emphasize positive approaches;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Available in each program area and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Available to individuals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Developed with the participation, as appropriate, of individuals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71.15(2)</w:t>
      </w:r>
      <w:r>
        <w:rPr>
          <w:rFonts w:ascii="Times New Roman" w:hAnsi="Times New Roman"/>
          <w:b w:val="false"/>
          <w:i w:val="false"/>
          <w:color w:val="000000"/>
          <w:sz w:val="22"/>
        </w:rPr>
        <w:t> </w:t>
      </w:r>
      <w:r>
        <w:rPr>
          <w:rFonts w:ascii="Times New Roman" w:hAnsi="Times New Roman"/>
          <w:b w:val="false"/>
          <w:i w:val="false"/>
          <w:color w:val="000000"/>
          <w:sz w:val="22"/>
        </w:rPr>
        <w:t>An emergency safety intervention must be performed in a manner that is safe, proportionate, and appropriate to the severity of the behavior and to the individual’s chronological and developmental age, size, gender, physical, medical, and psychiatric condition and personal history, including any history of physical or sexual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481—71.16</w:t>
      </w:r>
      <w:r>
        <w:rPr>
          <w:rFonts w:ascii="Times New Roman" w:hAnsi="Times New Roman"/>
          <w:b/>
          <w:i w:val="false"/>
          <w:color w:val="000000"/>
          <w:sz w:val="22"/>
        </w:rPr>
        <w:t xml:space="preserve">(135G) </w:t>
      </w:r>
      <w:r>
        <w:rPr>
          <w:rFonts w:ascii="Times New Roman" w:hAnsi="Times New Roman"/>
          <w:b/>
          <w:i w:val="false"/>
          <w:color w:val="000000"/>
          <w:sz w:val="22"/>
        </w:rPr>
        <w:t xml:space="preserve">Seclusion and restraint.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71.16(1)</w:t>
      </w:r>
      <w:r>
        <w:rPr>
          <w:rFonts w:ascii="Times New Roman" w:hAnsi="Times New Roman"/>
          <w:b w:val="false"/>
          <w:i w:val="false"/>
          <w:color w:val="000000"/>
          <w:sz w:val="22"/>
        </w:rPr>
        <w:t> </w:t>
      </w:r>
      <w:r>
        <w:rPr>
          <w:rFonts w:ascii="Times New Roman" w:hAnsi="Times New Roman"/>
          <w:b w:val="false"/>
          <w:i/>
          <w:color w:val="000000"/>
          <w:sz w:val="22"/>
        </w:rPr>
        <w:t xml:space="preserve">Use of a seclusion room. </w:t>
      </w:r>
      <w:r>
        <w:rPr>
          <w:rFonts w:ascii="Times New Roman" w:hAnsi="Times New Roman"/>
          <w:b w:val="false"/>
          <w:i w:val="false"/>
          <w:color w:val="000000"/>
          <w:sz w:val="22"/>
        </w:rPr>
        <w:t xml:space="preserve">Pursuant to Iowa Code section </w:t>
      </w:r>
      <w:hyperlink r:id="rId22">
        <w:r>
          <w:rPr>
            <w:rStyle w:val="Hyperlink"/>
            <w:rFonts w:ascii="Times New Roman" w:hAnsi="Times New Roman"/>
            <w:b w:val="false"/>
            <w:i w:val="false"/>
            <w:color w:val="000000"/>
            <w:sz w:val="22"/>
          </w:rPr>
          <w:t>135G.3(2)</w:t>
        </w:r>
      </w:hyperlink>
      <w:r>
        <w:rPr>
          <w:rFonts w:ascii="Times New Roman" w:hAnsi="Times New Roman"/>
          <w:b w:val="false"/>
          <w:i w:val="false"/>
          <w:color w:val="000000"/>
          <w:sz w:val="22"/>
        </w:rPr>
        <w:t xml:space="preserve">, a seclusion room used by a subacute care facility must meet the conditions of 42 CFR § 483.364(b).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utilizing a seclusion room shall have written policies regarding its use. The policy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types of behavior that may result in seclusion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Delineate the licensed personnel who may authorize use of the seclusion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documentation of the time in the seclusion room, the reasons for use of the seclusion room, and the reasons for any extension of time beyond one hour. Under no circumstances shall the use of the seclusion room exceed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notice to residents of the types of behavior that may result in seclusion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staff member shall always be in hearing distance of the seclusion room, and the resident shall be visually checked by the staff at least every 15 minutes. Every check shall be documented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seclusion room shall not be used for punishment, for the convenience of staff, or as a substitution for supervision. A seclusion room shall only be used when a less restrictive alternative has failed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emergency to prevent injury to the resident or to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71.16(2)</w:t>
      </w:r>
      <w:r>
        <w:rPr>
          <w:rFonts w:ascii="Times New Roman" w:hAnsi="Times New Roman"/>
          <w:b w:val="false"/>
          <w:i w:val="false"/>
          <w:color w:val="000000"/>
          <w:sz w:val="22"/>
        </w:rPr>
        <w:t> </w:t>
      </w:r>
      <w:r>
        <w:rPr>
          <w:rFonts w:ascii="Times New Roman" w:hAnsi="Times New Roman"/>
          <w:b w:val="false"/>
          <w:i/>
          <w:color w:val="000000"/>
          <w:sz w:val="22"/>
        </w:rPr>
        <w:t xml:space="preserve">Use of restraints. </w:t>
      </w:r>
      <w:r>
        <w:rPr>
          <w:rFonts w:ascii="Times New Roman" w:hAnsi="Times New Roman"/>
          <w:b w:val="false"/>
          <w:i w:val="false"/>
          <w:color w:val="000000"/>
          <w:sz w:val="22"/>
        </w:rPr>
        <w:t>There shall be written policies that define the use of restraint, designate the staff member who may authorize its use, and establish a mechanism for monitoring and controlling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Restraint shall not be used for punishment, for the convenience of staff, or as a substitution for supervision. Restraint shall only be used:</w:t>
      </w:r>
    </w:p>
    <w:p>
      <w:pPr>
        <w:spacing w:before="0" w:after="0"/>
        <w:ind w:left="120"/>
        <w:jc w:val="both"/>
      </w:pPr>
      <w:r>
        <w:rPr>
          <w:rFonts w:ascii="Times New Roman" w:hAnsi="Times New Roman"/>
          <w:b w:val="false"/>
          <w:i w:val="false"/>
          <w:color w:val="000000"/>
          <w:sz w:val="22"/>
        </w:rPr>
        <w:t>(1) In an emergency to prevent injury to the resident or to others; or</w:t>
      </w:r>
    </w:p>
    <w:p>
      <w:pPr>
        <w:spacing w:before="0" w:after="0"/>
        <w:ind w:left="120"/>
        <w:jc w:val="both"/>
      </w:pPr>
      <w:r>
        <w:rPr>
          <w:rFonts w:ascii="Times New Roman" w:hAnsi="Times New Roman"/>
          <w:b w:val="false"/>
          <w:i w:val="false"/>
          <w:color w:val="000000"/>
          <w:sz w:val="22"/>
        </w:rPr>
        <w:t>(2) For 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Restraint must not result in harm or injury to the resident and must be used only to ensure the safety of the resident or others during an emergency situation until the emergency situation has ceased, even if the restraint order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restraint should be selected only when other less restrictive measures have been found to be ineffective to protect the resident or others. The staff shall demonstrate effective treatment approaches and alternatives to the use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actively or passively assist in the restraint of another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trained in the use of emergency safety interventions must be physically present and continually assessing and monitoring the well-being of the resident and the safe use of restraint throughout the duration of the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71.16(3)</w:t>
      </w:r>
      <w:r>
        <w:rPr>
          <w:rFonts w:ascii="Times New Roman" w:hAnsi="Times New Roman"/>
          <w:b w:val="false"/>
          <w:i w:val="false"/>
          <w:color w:val="000000"/>
          <w:sz w:val="22"/>
        </w:rPr>
        <w:t> </w:t>
      </w:r>
      <w:r>
        <w:rPr>
          <w:rFonts w:ascii="Times New Roman" w:hAnsi="Times New Roman"/>
          <w:b w:val="false"/>
          <w:i/>
          <w:color w:val="000000"/>
          <w:sz w:val="22"/>
        </w:rPr>
        <w:t xml:space="preserve">Orders for restraint or seclusion. </w:t>
      </w:r>
      <w:r>
        <w:rPr>
          <w:rFonts w:ascii="Times New Roman" w:hAnsi="Times New Roman"/>
          <w:b w:val="false"/>
          <w:i w:val="false"/>
          <w:color w:val="000000"/>
          <w:sz w:val="22"/>
        </w:rPr>
        <w:t>An order for restraint or seclusion shall not be written as a standing order or on an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order for restraint or seclusion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ordering physician, physician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the order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emergency safety intervention ordered, including the length of time for which restraint or seclusion is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Orders for restraint or seclusion must be by a physician, physician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 orders must be received while the emergency safety intervention is being initiated by staff or immediately after the emergency safety situation ends and must be verified in writing in the resident’s record by the physician, physician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the one-time order for the specific resident in an emergency safety situation has expired, it may not be renewed on a planned, anticipated, or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71.16(4)</w:t>
      </w:r>
      <w:r>
        <w:rPr>
          <w:rFonts w:ascii="Times New Roman" w:hAnsi="Times New Roman"/>
          <w:b w:val="false"/>
          <w:i w:val="false"/>
          <w:color w:val="000000"/>
          <w:sz w:val="22"/>
        </w:rPr>
        <w:t> </w:t>
      </w:r>
      <w:r>
        <w:rPr>
          <w:rFonts w:ascii="Times New Roman" w:hAnsi="Times New Roman"/>
          <w:b w:val="false"/>
          <w:i/>
          <w:color w:val="000000"/>
          <w:sz w:val="22"/>
        </w:rPr>
        <w:t xml:space="preserve">Simultaneous use prohibited. </w:t>
      </w:r>
      <w:r>
        <w:rPr>
          <w:rFonts w:ascii="Times New Roman" w:hAnsi="Times New Roman"/>
          <w:b w:val="false"/>
          <w:i w:val="false"/>
          <w:color w:val="000000"/>
          <w:sz w:val="22"/>
        </w:rPr>
        <w:t>Restraint and seclusion shall not be used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71.16(5)</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use of restraint or seclusion. </w:t>
      </w:r>
      <w:r>
        <w:rPr>
          <w:rFonts w:ascii="Times New Roman" w:hAnsi="Times New Roman"/>
          <w:b w:val="false"/>
          <w:i w:val="false"/>
          <w:color w:val="000000"/>
          <w:sz w:val="22"/>
        </w:rPr>
        <w:t>Staff must document in the resident’s record and in a centralized tracking system any use of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must be completed by the end of the shift in which the intervention occurs or during the shift in which it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order for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the emergency safety intervention began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emergency safety situation that required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staff involved in the emergency safety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interventions used and their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signature of the physician, physician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71.16(6)</w:t>
      </w:r>
      <w:r>
        <w:rPr>
          <w:rFonts w:ascii="Times New Roman" w:hAnsi="Times New Roman"/>
          <w:b w:val="false"/>
          <w:i w:val="false"/>
          <w:color w:val="000000"/>
          <w:sz w:val="22"/>
        </w:rPr>
        <w:t> </w:t>
      </w:r>
      <w:r>
        <w:rPr>
          <w:rFonts w:ascii="Times New Roman" w:hAnsi="Times New Roman"/>
          <w:b w:val="false"/>
          <w:i/>
          <w:color w:val="000000"/>
          <w:sz w:val="22"/>
        </w:rPr>
        <w:t xml:space="preserve">Meeting to process restraint or seclusion. </w:t>
      </w:r>
      <w:r>
        <w:rPr>
          <w:rFonts w:ascii="Times New Roman" w:hAnsi="Times New Roman"/>
          <w:b w:val="false"/>
          <w:i w:val="false"/>
          <w:color w:val="000000"/>
          <w:sz w:val="22"/>
        </w:rPr>
        <w:t>As soon as reasonably possible after the restraint or seclusion of a resident has terminated, staff must meet to process the restraint or seclusion occurrence and document in writing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71.16(7)</w:t>
      </w:r>
      <w:r>
        <w:rPr>
          <w:rFonts w:ascii="Times New Roman" w:hAnsi="Times New Roman"/>
          <w:b w:val="false"/>
          <w:i w:val="false"/>
          <w:color w:val="000000"/>
          <w:sz w:val="22"/>
        </w:rPr>
        <w:t> </w:t>
      </w:r>
      <w:r>
        <w:rPr>
          <w:rFonts w:ascii="Times New Roman" w:hAnsi="Times New Roman"/>
          <w:b w:val="false"/>
          <w:i/>
          <w:color w:val="000000"/>
          <w:sz w:val="22"/>
        </w:rPr>
        <w:t xml:space="preserve">Multiple occasions of restraint or seclusion. </w:t>
      </w:r>
      <w:r>
        <w:rPr>
          <w:rFonts w:ascii="Times New Roman" w:hAnsi="Times New Roman"/>
          <w:b w:val="false"/>
          <w:i w:val="false"/>
          <w:color w:val="000000"/>
          <w:sz w:val="22"/>
        </w:rPr>
        <w:t>A resident who requires restraint or seclusion on multiple occasions should be considered for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71.16(8)</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The facility shall provide to the staff training by qualified professionals on physical restraint and seclusion theory and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the training, including attendance,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who have documented training in physical restraint and seclusion theory and techniques shall be authorized to assist with the seclusion or physical restraint of a resident.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481—71.17</w:t>
      </w:r>
      <w:r>
        <w:rPr>
          <w:rFonts w:ascii="Times New Roman" w:hAnsi="Times New Roman"/>
          <w:b/>
          <w:i w:val="false"/>
          <w:color w:val="000000"/>
          <w:sz w:val="22"/>
        </w:rPr>
        <w:t xml:space="preserve">(135G) </w:t>
      </w:r>
      <w:r>
        <w:rPr>
          <w:rFonts w:ascii="Times New Roman" w:hAnsi="Times New Roman"/>
          <w:b/>
          <w:i w:val="false"/>
          <w:color w:val="000000"/>
          <w:sz w:val="22"/>
        </w:rPr>
        <w:t xml:space="preserve">Medication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71.17(1)</w:t>
      </w:r>
      <w:r>
        <w:rPr>
          <w:rFonts w:ascii="Times New Roman" w:hAnsi="Times New Roman"/>
          <w:b w:val="false"/>
          <w:i w:val="false"/>
          <w:color w:val="000000"/>
          <w:sz w:val="22"/>
        </w:rPr>
        <w:t> </w:t>
      </w:r>
      <w:r>
        <w:rPr>
          <w:rFonts w:ascii="Times New Roman" w:hAnsi="Times New Roman"/>
          <w:b w:val="false"/>
          <w:i w:val="false"/>
          <w:color w:val="000000"/>
          <w:sz w:val="22"/>
        </w:rPr>
        <w:t>Medications must be ordered by qualified prescribers and administered by qualified personnel. For purposes of this subrule, “qualified personnel” means, at a minimum, a certified medication aide.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71.17(2)</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must be legally dispensed and labeled according to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71.17(3)</w:t>
      </w:r>
      <w:r>
        <w:rPr>
          <w:rFonts w:ascii="Times New Roman" w:hAnsi="Times New Roman"/>
          <w:b w:val="false"/>
          <w:i w:val="false"/>
          <w:color w:val="000000"/>
          <w:sz w:val="22"/>
        </w:rPr>
        <w:t> </w:t>
      </w:r>
      <w:r>
        <w:rPr>
          <w:rFonts w:ascii="Times New Roman" w:hAnsi="Times New Roman"/>
          <w:b w:val="false"/>
          <w:i w:val="false"/>
          <w:color w:val="000000"/>
          <w:sz w:val="22"/>
        </w:rPr>
        <w:t>All medication errors, drug reactions and suspected drug overmedication must be documented and reported to the practitioner who prescribed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71.17(4)</w:t>
      </w:r>
      <w:r>
        <w:rPr>
          <w:rFonts w:ascii="Times New Roman" w:hAnsi="Times New Roman"/>
          <w:b w:val="false"/>
          <w:i w:val="false"/>
          <w:color w:val="000000"/>
          <w:sz w:val="22"/>
        </w:rPr>
        <w:t> </w:t>
      </w:r>
      <w:r>
        <w:rPr>
          <w:rFonts w:ascii="Times New Roman" w:hAnsi="Times New Roman"/>
          <w:b w:val="false"/>
          <w:i w:val="false"/>
          <w:color w:val="000000"/>
          <w:sz w:val="22"/>
        </w:rPr>
        <w:t>All medications and other preparations intended for internal or external human use must be stored in medicine cabinets or drug rooms. When preservation of the medication or other preparation requires refrigeration, the facility must provide a means of securely refrigerating these items. Such cabinets or drug rooms must be kept securely locked when not in use, and the key must be in the possession of the supervising nurse or other authorized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71.17(5)</w:t>
      </w:r>
      <w:r>
        <w:rPr>
          <w:rFonts w:ascii="Times New Roman" w:hAnsi="Times New Roman"/>
          <w:b w:val="false"/>
          <w:i w:val="false"/>
          <w:color w:val="000000"/>
          <w:sz w:val="22"/>
        </w:rPr>
        <w:t> </w:t>
      </w:r>
      <w:r>
        <w:rPr>
          <w:rFonts w:ascii="Times New Roman" w:hAnsi="Times New Roman"/>
          <w:b w:val="false"/>
          <w:i w:val="false"/>
          <w:color w:val="000000"/>
          <w:sz w:val="22"/>
        </w:rPr>
        <w:t>Schedule II drugs must be stored within two separately locked compartments at all times and accessible only to qualified personnel in charge of administering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71.17(6)</w:t>
      </w:r>
      <w:r>
        <w:rPr>
          <w:rFonts w:ascii="Times New Roman" w:hAnsi="Times New Roman"/>
          <w:b w:val="false"/>
          <w:i w:val="false"/>
          <w:color w:val="000000"/>
          <w:sz w:val="22"/>
        </w:rPr>
        <w:t> </w:t>
      </w:r>
      <w:r>
        <w:rPr>
          <w:rFonts w:ascii="Times New Roman" w:hAnsi="Times New Roman"/>
          <w:b w:val="false"/>
          <w:i w:val="false"/>
          <w:color w:val="000000"/>
          <w:sz w:val="22"/>
        </w:rPr>
        <w:t>Any unused portions of program-prescribed medication(s) must be either turned over to the resident with written authorization and directions by the qualified prescriber or returned to a pharmacy for proper disposition by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71.17(7)</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resident brings the resident’s own prescribed medications into the facility, such medications must not be administered unless identified by a qualified prescriber or pharmacist and ordered by a qualified prescriber. If such medications cannot be administered, they must be packaged, sealed, and returned to an adult member of the resident’s immediate family or the legal guardian or securely stored and returned to the resident upon discharge. However, if previously prescribed medication would prove harmful to the resident, the medication may be withheld from the resident and disposed of in accordance with subrule </w:t>
      </w:r>
      <w:hyperlink r:id="rId23">
        <w:r>
          <w:rPr>
            <w:rStyle w:val="Hyperlink"/>
            <w:rFonts w:ascii="Times New Roman" w:hAnsi="Times New Roman"/>
            <w:b w:val="false"/>
            <w:i w:val="false"/>
            <w:color w:val="000000"/>
            <w:sz w:val="22"/>
          </w:rPr>
          <w:t>71.17(6)</w:t>
        </w:r>
      </w:hyperlink>
      <w:r>
        <w:rPr>
          <w:rFonts w:ascii="Times New Roman" w:hAnsi="Times New Roman"/>
          <w:b w:val="false"/>
          <w:i w:val="false"/>
          <w:color w:val="000000"/>
          <w:sz w:val="22"/>
        </w:rPr>
        <w:t>. There must be documentation by the qualified prescriber in the resident’s clinical record citing the dangers or contraindications of the medication being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71.17(8)</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medications. All potent, poisonous, or caustic materials shall be plainly labeled and stored in a specific, well-illuminated cabinet, closet or storeroom and made accessible only to authorized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481—71.18</w:t>
      </w:r>
      <w:r>
        <w:rPr>
          <w:rFonts w:ascii="Times New Roman" w:hAnsi="Times New Roman"/>
          <w:b/>
          <w:i w:val="false"/>
          <w:color w:val="000000"/>
          <w:sz w:val="22"/>
        </w:rPr>
        <w:t xml:space="preserve">(135G)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71.18(1)</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include foods and amounts necessary to meet federal dietary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served daily, at regular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71.18(2)</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and service. </w:t>
      </w:r>
      <w:r>
        <w:rPr>
          <w:rFonts w:ascii="Times New Roman" w:hAnsi="Times New Roman"/>
          <w:b w:val="false"/>
          <w:i w:val="false"/>
          <w:color w:val="000000"/>
          <w:sz w:val="22"/>
        </w:rPr>
        <w:t xml:space="preserve">All food shall be handled, prepared, served and stored in compliance with the Food Code adopted pursuant to Iowa Code section </w:t>
      </w:r>
      <w:hyperlink r:id="rId24">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481—71.19</w:t>
      </w:r>
      <w:r>
        <w:rPr>
          <w:rFonts w:ascii="Times New Roman" w:hAnsi="Times New Roman"/>
          <w:b/>
          <w:i w:val="false"/>
          <w:color w:val="000000"/>
          <w:sz w:val="22"/>
        </w:rPr>
        <w:t xml:space="preserve">(135G)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window treatments that are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fire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their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as needed, except on furniture provided by the resident and the property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71.19(3)</w:t>
      </w:r>
      <w:r>
        <w:rPr>
          <w:rFonts w:ascii="Times New Roman" w:hAnsi="Times New Roman"/>
          <w:b w:val="false"/>
          <w:i w:val="false"/>
          <w:color w:val="000000"/>
          <w:sz w:val="22"/>
        </w:rPr>
        <w:t> </w:t>
      </w:r>
      <w:r>
        <w:rPr>
          <w:rFonts w:ascii="Times New Roman" w:hAnsi="Times New Roman"/>
          <w:b w:val="false"/>
          <w:i/>
          <w:color w:val="000000"/>
          <w:sz w:val="22"/>
        </w:rPr>
        <w:t xml:space="preserve">Dining area and common area. </w:t>
      </w:r>
      <w:r>
        <w:rPr>
          <w:rFonts w:ascii="Times New Roman" w:hAnsi="Times New Roman"/>
          <w:b w:val="false"/>
          <w:i w:val="false"/>
          <w:color w:val="000000"/>
          <w:sz w:val="22"/>
        </w:rPr>
        <w:t>Every facility shall have a dining area and a common area easily accessible to all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common area shall be maintained for the use of residents and their visitors and may be used for recreational activities. Common areas shall be suitably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Dining areas shall be furnished with dining tables and chairs appropriate to the size and function of the facility. Dining areas and furnishings shall be kept clean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twin-sized or larger bed, substantially constructed and in good repair. Rollaway beds, metal cots, or folding beds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five inches thick and standard in size for the bed; and clean, comfortable pillows of average bed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bedside table with a drawer to accommodate personal possessions.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bedroom in which more than one resident resides, drawer space shall be assigned to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the radiator is covered so as to protect the resident from contact with it or from excessive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two residents per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71.19(5)</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 minimum of one toilet and one sink for each four residents and one shower for each eight residents. For example, a facility with the maximum of 16 beds shall have four toilets and sinks and two showers.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sinks shall have paper towel dispensers and an available supply of soap.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Toilet paper shall be readily available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71.19(6)</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shall be maintained in good working order and capable of maintaining a comfortable temperature for residents of the facility. Portable units or space heaters are prohibited from being used in the facility except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71.19(7)</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sources of water supply shall be tested annually and the report made available for review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supply shall be grounds for denial, suspension, or revocation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supply at its discretion in addition to the annual test. The facility shall supply reports of such tests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water supply shall be surveyed and shall comply with the requirements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481—71.20</w:t>
      </w:r>
      <w:r>
        <w:rPr>
          <w:rFonts w:ascii="Times New Roman" w:hAnsi="Times New Roman"/>
          <w:b/>
          <w:i w:val="false"/>
          <w:color w:val="000000"/>
          <w:sz w:val="22"/>
        </w:rPr>
        <w:t xml:space="preserve">(135G)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about each resident with all entries current, dated, and signed.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Name and previous address of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Provisional or admitting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biopsychosocial history sufficient to provide data on the resident’s relevant past history, present situation, social support system, community resource contacts, and other information relevant to appropriate treatment and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telephone number and address of the licensed mental health professional completing the biopsychosocial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be notified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Pharmacy name, telephone number,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Written orders for treatment and medications, signed by a physician, physician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change in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Notations describing the resident’s condition on admission, transfer,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legal representative, or facility in the event of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Individualized treatment and discharge or transfer plan pursuant to rule </w:t>
      </w:r>
      <w:hyperlink r:id="rId25">
        <w:r>
          <w:rPr>
            <w:rStyle w:val="Hyperlink"/>
            <w:rFonts w:ascii="Times New Roman" w:hAnsi="Times New Roman"/>
            <w:b w:val="false"/>
            <w:i w:val="false"/>
            <w:color w:val="000000"/>
            <w:sz w:val="22"/>
          </w:rPr>
          <w:t>481—71.14</w:t>
        </w:r>
      </w:hyperlink>
      <w:r>
        <w:rPr>
          <w:rFonts w:ascii="Times New Roman" w:hAnsi="Times New Roman"/>
          <w:b w:val="false"/>
          <w:i w:val="false"/>
          <w:color w:val="000000"/>
          <w:sz w:val="22"/>
        </w:rPr>
        <w:t>(135G);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notes, including any use of seclusion or restraint pursuant to rule </w:t>
      </w:r>
      <w:hyperlink r:id="rId26">
        <w:r>
          <w:rPr>
            <w:rStyle w:val="Hyperlink"/>
            <w:rFonts w:ascii="Times New Roman" w:hAnsi="Times New Roman"/>
            <w:b w:val="false"/>
            <w:i w:val="false"/>
            <w:color w:val="000000"/>
            <w:sz w:val="22"/>
          </w:rPr>
          <w:t>481—71.16</w:t>
        </w:r>
      </w:hyperlink>
      <w:r>
        <w:rPr>
          <w:rFonts w:ascii="Times New Roman" w:hAnsi="Times New Roman"/>
          <w:b w:val="false"/>
          <w:i w:val="false"/>
          <w:color w:val="000000"/>
          <w:sz w:val="22"/>
        </w:rPr>
        <w:t>(135G), recorded by the physician, physician assistant, advanced registered nurse practitioner or mental health professional and, when appropriate, others significantly involved in active treatment modalities. Progress notes must contain a concise assessment of the resident’s progress and recommendations for revising the treatment plan as indicated by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discharge summary, including a recapitulation of the resident’s hospitalization, recommendations for appropriate services concerning follow-up, and a brief summary of the resident’s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The facility shall have policies and procedures providing that each resident shall be assured confidential treatment of all information, including information contained in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resident records to staff and consultants providing professional services to the resident. Information shall be made available to staff only to the extent that the information is relevant to the staff person’s responsibilities and duties. This restriction shall not preclude access by representatives of state or federal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guardian, shall be entitled to examine all information and shall have the right to secure full copies of the record at reasonable cost upon request, unless the physician, physician assistant, advanced registered nurse practitioner or mental health professional determines the disclosure of the record or a section thereof is contraindicated, in which case the designated information will be redacted prior to making the record available to the resident. This determination and the reasons for it must be documented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subacute care facility shall maintain an incident record report and shall have available incident report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report of every unusual occurrence shall be detailed on the printed incident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unusual occurrence shall oversee the preparation of and sign the incident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and shall be available for review and a part of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termination of services to the resident, even when there is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the resident’s record shall be released to the facility to which the resident is transferred. If no transfer occurs, the record shall be released to the individual’s physician or advanced registered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481—71.21</w:t>
      </w:r>
      <w:r>
        <w:rPr>
          <w:rFonts w:ascii="Times New Roman" w:hAnsi="Times New Roman"/>
          <w:b/>
          <w:i w:val="false"/>
          <w:color w:val="000000"/>
          <w:sz w:val="22"/>
        </w:rPr>
        <w:t xml:space="preserve">(135G) </w:t>
      </w:r>
      <w:r>
        <w:rPr>
          <w:rFonts w:ascii="Times New Roman" w:hAnsi="Times New Roman"/>
          <w:b/>
          <w:i w:val="false"/>
          <w:color w:val="000000"/>
          <w:sz w:val="22"/>
        </w:rPr>
        <w:t xml:space="preserve">Residents’ rights in 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Each facility shall ensure that policies and procedures are written and implemented, include all of the following subrules, and govern all areas of service provided to staff and residents, their families or legal representatives. The policies and procedures shall be available to the public and shall be reviewed annually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71.21(2)</w:t>
      </w:r>
      <w:r>
        <w:rPr>
          <w:rFonts w:ascii="Times New Roman" w:hAnsi="Times New Roman"/>
          <w:b w:val="false"/>
          <w:i w:val="false"/>
          <w:color w:val="000000"/>
          <w:sz w:val="22"/>
        </w:rPr>
        <w:t> </w:t>
      </w:r>
      <w:r>
        <w:rPr>
          <w:rFonts w:ascii="Times New Roman" w:hAnsi="Times New Roman"/>
          <w:b w:val="false"/>
          <w:i/>
          <w:color w:val="000000"/>
          <w:sz w:val="22"/>
        </w:rPr>
        <w:t xml:space="preserve">Grievances. </w:t>
      </w:r>
      <w:r>
        <w:rPr>
          <w:rFonts w:ascii="Times New Roman" w:hAnsi="Times New Roman"/>
          <w:b w:val="false"/>
          <w:i w:val="false"/>
          <w:color w:val="000000"/>
          <w:sz w:val="22"/>
        </w:rPr>
        <w:t>Written policies and procedures shall include a method for submission of grievances and recommendations by residents or their responsible parties and a method to ensure a response and disposition by the facility. The written grievance procedure shall ensure protection of the resident from any form of reprisal or intimidation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an employee or an alternate staff person designated to be responsible for handling grievances and recommendations;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to investigate and assess the validity of a grievance or recommendation, resolve grievances, and take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71.21(3)</w:t>
      </w:r>
      <w:r>
        <w:rPr>
          <w:rFonts w:ascii="Times New Roman" w:hAnsi="Times New Roman"/>
          <w:b w:val="false"/>
          <w:i w:val="false"/>
          <w:color w:val="000000"/>
          <w:sz w:val="22"/>
        </w:rPr>
        <w:t> </w:t>
      </w:r>
      <w:r>
        <w:rPr>
          <w:rFonts w:ascii="Times New Roman" w:hAnsi="Times New Roman"/>
          <w:b w:val="false"/>
          <w:i/>
          <w:color w:val="000000"/>
          <w:sz w:val="22"/>
        </w:rPr>
        <w:t xml:space="preserve">Informed of rights and responsibilities.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residents about what they may expect from the facility and its staff and what is expected from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non-English-speaking or deaf or hard of hearing, steps shall be taken to translate the information into the person’s native language or sign language. In the case of visually impaired residents, either Braille or a recording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and legal guardian, if applicable, indicating an understanding of these rights and responsibilities, and the statement shall be maintained in the record. A copy of the signed statement shall be given to the resident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71.21(4)</w:t>
      </w:r>
      <w:r>
        <w:rPr>
          <w:rFonts w:ascii="Times New Roman" w:hAnsi="Times New Roman"/>
          <w:b w:val="false"/>
          <w:i w:val="false"/>
          <w:color w:val="000000"/>
          <w:sz w:val="22"/>
        </w:rPr>
        <w:t> </w:t>
      </w:r>
      <w:r>
        <w:rPr>
          <w:rFonts w:ascii="Times New Roman" w:hAnsi="Times New Roman"/>
          <w:b w:val="false"/>
          <w:i/>
          <w:color w:val="000000"/>
          <w:sz w:val="22"/>
        </w:rPr>
        <w:t xml:space="preserve">Informed of health condition. </w:t>
      </w:r>
      <w:r>
        <w:rPr>
          <w:rFonts w:ascii="Times New Roman" w:hAnsi="Times New Roman"/>
          <w:b w:val="false"/>
          <w:i w:val="false"/>
          <w:color w:val="000000"/>
          <w:sz w:val="22"/>
        </w:rPr>
        <w:t>Each resident or legal guardian shall be fully informed by a physician, physician assistant, advanced registered nurse practitioner or mental health professional of the resident’s health and medical condition unless medically contraindicated as documented by a physician, physician assistant, advanced registered nurse practitioner or mental health professional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71.21(5)</w:t>
      </w:r>
      <w:r>
        <w:rPr>
          <w:rFonts w:ascii="Times New Roman" w:hAnsi="Times New Roman"/>
          <w:b w:val="false"/>
          <w:i w:val="false"/>
          <w:color w:val="000000"/>
          <w:sz w:val="22"/>
        </w:rPr>
        <w:t> </w:t>
      </w:r>
      <w:r>
        <w:rPr>
          <w:rFonts w:ascii="Times New Roman" w:hAnsi="Times New Roman"/>
          <w:b w:val="false"/>
          <w:i/>
          <w:color w:val="000000"/>
          <w:sz w:val="22"/>
        </w:rPr>
        <w:t xml:space="preserve">Posting of names. </w:t>
      </w:r>
      <w:r>
        <w:rPr>
          <w:rFonts w:ascii="Times New Roman" w:hAnsi="Times New Roman"/>
          <w:b w:val="false"/>
          <w:i w:val="false"/>
          <w:color w:val="000000"/>
          <w:sz w:val="22"/>
        </w:rPr>
        <w:t>The facility shall post in a prominent area the name, telephone number, and address of the survey agency, the local law enforcement agency and the protection and advocacy agency designated to provide to residents another course of redress.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71.21(6)</w:t>
      </w:r>
      <w:r>
        <w:rPr>
          <w:rFonts w:ascii="Times New Roman" w:hAnsi="Times New Roman"/>
          <w:b w:val="false"/>
          <w:i w:val="false"/>
          <w:color w:val="000000"/>
          <w:sz w:val="22"/>
        </w:rPr>
        <w:t> </w:t>
      </w:r>
      <w:r>
        <w:rPr>
          <w:rFonts w:ascii="Times New Roman" w:hAnsi="Times New Roman"/>
          <w:b w:val="false"/>
          <w:i/>
          <w:color w:val="000000"/>
          <w:sz w:val="22"/>
        </w:rPr>
        <w:t xml:space="preserve">Dignity preserved. </w:t>
      </w:r>
      <w:r>
        <w:rPr>
          <w:rFonts w:ascii="Times New Roman" w:hAnsi="Times New Roman"/>
          <w:b w:val="false"/>
          <w:i w:val="false"/>
          <w:color w:val="000000"/>
          <w:sz w:val="22"/>
        </w:rPr>
        <w:t>Each resident shall be treated with consideration, respect, and full recognition of the resident’s dignity and individuality, including privacy in treatment and in care of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verbal abuse, or any other activity that would be damaging to an individual’s self-respect shall be prohibited by written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shall not be used as punishment, for the convenience of staff, or as a substitute for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 individuality and dignity of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shall shield the resident from passersby. People not involved in the care of the residents shall not be present without the resident’s consent while the resident is being examined or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requirement does not apply under emergency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71.21(7)</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Each resident may send and receive personal mail unopened unless prohibited in the treatment plan, which requires explicit approval of the resident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71.21(8)</w:t>
      </w:r>
      <w:r>
        <w:rPr>
          <w:rFonts w:ascii="Times New Roman" w:hAnsi="Times New Roman"/>
          <w:b w:val="false"/>
          <w:i w:val="false"/>
          <w:color w:val="000000"/>
          <w:sz w:val="22"/>
        </w:rPr>
        <w:t> </w:t>
      </w:r>
      <w:r>
        <w:rPr>
          <w:rFonts w:ascii="Times New Roman" w:hAnsi="Times New Roman"/>
          <w:b w:val="false"/>
          <w:i/>
          <w:color w:val="000000"/>
          <w:sz w:val="22"/>
        </w:rPr>
        <w:t xml:space="preserve">Visiting hours.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visit would not be in accordance with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Reasons for denial of visitation shall be documented in the resident’s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71.21(9)</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Space shall be provided for residents to receive visitors in comfort and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71.21(10)</w:t>
      </w:r>
      <w:r>
        <w:rPr>
          <w:rFonts w:ascii="Times New Roman" w:hAnsi="Times New Roman"/>
          <w:b w:val="false"/>
          <w:i w:val="false"/>
          <w:color w:val="000000"/>
          <w:sz w:val="22"/>
        </w:rPr>
        <w:t> </w:t>
      </w:r>
      <w:r>
        <w:rPr>
          <w:rFonts w:ascii="Times New Roman" w:hAnsi="Times New Roman"/>
          <w:b w:val="false"/>
          <w:i/>
          <w:color w:val="000000"/>
          <w:sz w:val="22"/>
        </w:rPr>
        <w:t xml:space="preserve">Telephone calls. </w:t>
      </w:r>
      <w:r>
        <w:rPr>
          <w:rFonts w:ascii="Times New Roman" w:hAnsi="Times New Roman"/>
          <w:b w:val="false"/>
          <w:i w:val="false"/>
          <w:color w:val="000000"/>
          <w:sz w:val="22"/>
        </w:rPr>
        <w:t>Telephones shall be available and accessible for residents to make and receive calls with privacy. Residents who need help shall be assisted in using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71.21(11)</w:t>
      </w: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Arrangements shall be made to provide assistance to residents who require help in reading or sending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71.21(12)</w:t>
      </w:r>
      <w:r>
        <w:rPr>
          <w:rFonts w:ascii="Times New Roman" w:hAnsi="Times New Roman"/>
          <w:b w:val="false"/>
          <w:i w:val="false"/>
          <w:color w:val="000000"/>
          <w:sz w:val="22"/>
        </w:rPr>
        <w:t> </w:t>
      </w:r>
      <w:r>
        <w:rPr>
          <w:rFonts w:ascii="Times New Roman" w:hAnsi="Times New Roman"/>
          <w:b w:val="false"/>
          <w:i/>
          <w:color w:val="000000"/>
          <w:sz w:val="22"/>
        </w:rPr>
        <w:t xml:space="preserve">Permission to leave premises. </w:t>
      </w:r>
      <w:r>
        <w:rPr>
          <w:rFonts w:ascii="Times New Roman" w:hAnsi="Times New Roman"/>
          <w:b w:val="false"/>
          <w:i w:val="false"/>
          <w:color w:val="000000"/>
          <w:sz w:val="22"/>
        </w:rPr>
        <w:t>Residents shall be permitted to leave the facility and environs at reasonable times if permitted in writing by the physician, physician assistant, advanced registered nurse practitioner, mental health professional, or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71.21(13)</w:t>
      </w:r>
      <w:r>
        <w:rPr>
          <w:rFonts w:ascii="Times New Roman" w:hAnsi="Times New Roman"/>
          <w:b w:val="false"/>
          <w:i w:val="false"/>
          <w:color w:val="000000"/>
          <w:sz w:val="22"/>
        </w:rPr>
        <w:t> </w:t>
      </w:r>
      <w:r>
        <w:rPr>
          <w:rFonts w:ascii="Times New Roman" w:hAnsi="Times New Roman"/>
          <w:b w:val="false"/>
          <w:i/>
          <w:color w:val="000000"/>
          <w:sz w:val="22"/>
        </w:rPr>
        <w:t xml:space="preserve">Resident activities. </w:t>
      </w:r>
      <w:r>
        <w:rPr>
          <w:rFonts w:ascii="Times New Roman" w:hAnsi="Times New Roman"/>
          <w:b w:val="false"/>
          <w:i w:val="false"/>
          <w:color w:val="000000"/>
          <w:sz w:val="22"/>
        </w:rPr>
        <w:t>Each resident may participate in recreational activities as desired unless contraindicated for reasons documented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71.21(14)</w:t>
      </w:r>
      <w:r>
        <w:rPr>
          <w:rFonts w:ascii="Times New Roman" w:hAnsi="Times New Roman"/>
          <w:b w:val="false"/>
          <w:i w:val="false"/>
          <w:color w:val="000000"/>
          <w:sz w:val="22"/>
        </w:rPr>
        <w:t> </w:t>
      </w:r>
      <w:r>
        <w:rPr>
          <w:rFonts w:ascii="Times New Roman" w:hAnsi="Times New Roman"/>
          <w:b w:val="false"/>
          <w:i/>
          <w:color w:val="000000"/>
          <w:sz w:val="22"/>
        </w:rPr>
        <w:t xml:space="preserve">Resident property. </w:t>
      </w:r>
      <w:r>
        <w:rPr>
          <w:rFonts w:ascii="Times New Roman" w:hAnsi="Times New Roman"/>
          <w:b w:val="false"/>
          <w:i w:val="false"/>
          <w:color w:val="000000"/>
          <w:sz w:val="22"/>
        </w:rPr>
        <w:t>Each resident may retain and use personal clothing and possessions, as space permits, and cash and other financial instruments, provided that the use of such items is not otherwise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personal property shall be kept in a secure location which is convenient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shall be advised, prior to or at the time of admission, of the kinds and amounts of clothing and possessions permitted for personal use and whether the facility will accept responsibility for maintaining these items, e.g., cleaning and 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personal clothing or possessions retained by the facility for the resident shall be identified and recorded on admission and the record placed on the resident’s chart. The facility shall be responsible for secure storage of items, and the items shall be returned to the resident promptly upon request or upon discharge from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481—71.22</w:t>
      </w:r>
      <w:r>
        <w:rPr>
          <w:rFonts w:ascii="Times New Roman" w:hAnsi="Times New Roman"/>
          <w:b/>
          <w:i w:val="false"/>
          <w:color w:val="000000"/>
          <w:sz w:val="22"/>
        </w:rPr>
        <w:t xml:space="preserve">(135G) </w:t>
      </w:r>
      <w:r>
        <w:rPr>
          <w:rFonts w:ascii="Times New Roman" w:hAnsi="Times New Roman"/>
          <w:b/>
          <w:i w:val="false"/>
          <w:color w:val="000000"/>
          <w:sz w:val="22"/>
        </w:rPr>
        <w:t xml:space="preserve">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71.22(1)</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Each facility shall have written policies and procedures for emergency medical and psychiatric treatment, which shall include immediate notification by the person in charge to the physician, physician assistant, advanced registered nurse practitioner or mental health professional of any accident, injury or adverse change in the resident’s condition. “Immediate” for purposes of this subrule means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71.22(2)</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71.22(3)</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Each facility shall have a written and implemented infection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71.22(4)</w:t>
      </w:r>
      <w:r>
        <w:rPr>
          <w:rFonts w:ascii="Times New Roman" w:hAnsi="Times New Roman"/>
          <w:b w:val="false"/>
          <w:i w:val="false"/>
          <w:color w:val="000000"/>
          <w:sz w:val="22"/>
        </w:rPr>
        <w:t> </w:t>
      </w:r>
      <w:r>
        <w:rPr>
          <w:rFonts w:ascii="Times New Roman" w:hAnsi="Times New Roman"/>
          <w:b w:val="false"/>
          <w:i/>
          <w:color w:val="000000"/>
          <w:sz w:val="22"/>
        </w:rPr>
        <w:t xml:space="preserve">Safe environment. </w:t>
      </w:r>
      <w:r>
        <w:rPr>
          <w:rFonts w:ascii="Times New Roman" w:hAnsi="Times New Roman"/>
          <w:b w:val="false"/>
          <w:i w:val="false"/>
          <w:color w:val="000000"/>
          <w:sz w:val="22"/>
        </w:rPr>
        <w:t>The licensee of a subacute care facility is responsible for the provision and maintenance of a safe environment for residents and personnel. The subacute care facility shall meet the fire and safety rules as promulgated by the state fire marshal or the state fire marshal’s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71.22(5)</w:t>
      </w: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The licensee shall have a written emergency plan to be followed in the event of fire, tornado, explosion, or other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to ensure that all employees are knowledgeable of the emergency plan. The training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71.22(6)</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 xml:space="preserve">A subacute care facility shall follow the smokefree air Act, Iowa Code chapter </w:t>
      </w:r>
      <w:hyperlink r:id="rId27">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1740C</w:t>
      </w:r>
      <w:r>
        <w:rPr>
          <w:rFonts w:ascii="Times New Roman" w:hAnsi="Times New Roman"/>
          <w:b w:val="false"/>
          <w:i w:val="false"/>
          <w:color w:val="000000"/>
          <w:sz w:val="21"/>
        </w:rPr>
        <w:t xml:space="preserve"> (Notice ARC 1615C, IAB 9/3/14)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2068C</w:t>
      </w:r>
      <w:r>
        <w:rPr>
          <w:rFonts w:ascii="Times New Roman" w:hAnsi="Times New Roman"/>
          <w:b w:val="false"/>
          <w:i w:val="false"/>
          <w:color w:val="000000"/>
          <w:sz w:val="21"/>
        </w:rPr>
        <w:t xml:space="preserve"> (Notice ARC 1996C, IAB 5/27/15)</w:t>
      </w:r>
      <w:r>
        <w:rPr>
          <w:rFonts w:ascii="Times New Roman" w:hAnsi="Times New Roman"/>
          <w:b w:val="false"/>
          <w:i w:val="false"/>
          <w:color w:val="000000"/>
          <w:sz w:val="21"/>
        </w:rPr>
        <w:t>, IAB 7/22/15, effective 8/26/15]</w:t>
      </w:r>
    </w:p>
    <w:p>
      <w:pPr>
        <w:spacing w:before="0" w:after="0"/>
        <w:ind w:left="120"/>
        <w:jc w:val="center"/>
      </w:pPr>
      <w:r>
        <w:rPr>
          <w:rFonts w:ascii="Times New Roman" w:hAnsi="Times New Roman"/>
          <w:b w:val="false"/>
          <w:i w:val="false"/>
          <w:color w:val="000000"/>
          <w:sz w:val="21"/>
        </w:rPr>
        <w:t>[Filed ARC 4431C</w:t>
      </w:r>
      <w:r>
        <w:rPr>
          <w:rFonts w:ascii="Times New Roman" w:hAnsi="Times New Roman"/>
          <w:b w:val="false"/>
          <w:i w:val="false"/>
          <w:color w:val="000000"/>
          <w:sz w:val="21"/>
        </w:rPr>
        <w:t xml:space="preserve"> (Notice ARC 4328C, IAB 3/13/19)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6974C</w:t>
      </w:r>
      <w:r>
        <w:rPr>
          <w:rFonts w:ascii="Times New Roman" w:hAnsi="Times New Roman"/>
          <w:b w:val="false"/>
          <w:i w:val="false"/>
          <w:color w:val="000000"/>
          <w:sz w:val="21"/>
        </w:rPr>
        <w:t xml:space="preserve"> (Notice ARC 6834C, IAB 1/25/23)</w:t>
      </w:r>
      <w:r>
        <w:rPr>
          <w:rFonts w:ascii="Times New Roman" w:hAnsi="Times New Roman"/>
          <w:b w:val="false"/>
          <w:i w:val="false"/>
          <w:color w:val="000000"/>
          <w:sz w:val="21"/>
        </w:rPr>
        <w:t>, IAB 4/5/23, effective 5/10/23]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G.1.pdf" Type="http://schemas.openxmlformats.org/officeDocument/2006/relationships/hyperlink" Id="rId5"/>
    <Relationship TargetMode="External" Target="http://www.samhsa.gov" Type="http://schemas.openxmlformats.org/officeDocument/2006/relationships/hyperlink" Id="rId6"/>
    <Relationship TargetMode="External" Target="https://www.legis.iowa.gov/docs/iac/rule/481.71.13.pdf" Type="http://schemas.openxmlformats.org/officeDocument/2006/relationships/hyperlink" Id="rId7"/>
    <Relationship TargetMode="External" Target="https://www.legis.iowa.gov/docs/ico/chapter/135G.pdf" Type="http://schemas.openxmlformats.org/officeDocument/2006/relationships/hyperlink" Id="rId8"/>
    <Relationship TargetMode="External" Target="https://www.legis.iowa.gov/docs/ico/chapter/135G.4.pdf" Type="http://schemas.openxmlformats.org/officeDocument/2006/relationships/hyperlink" Id="rId9"/>
    <Relationship TargetMode="External" Target="https://www.legis.iowa.gov/docs/iac/chapter/481.6.pdf" Type="http://schemas.openxmlformats.org/officeDocument/2006/relationships/hyperlink" Id="rId10"/>
    <Relationship TargetMode="External" Target="https://www.legis.iowa.gov/docs/ico/chapter/135G.8.pdf" Type="http://schemas.openxmlformats.org/officeDocument/2006/relationships/hyperlink" Id="rId11"/>
    <Relationship TargetMode="External" Target="https://www.legis.iowa.gov/docs/ico/chapter/228.1.pdf" Type="http://schemas.openxmlformats.org/officeDocument/2006/relationships/hyperlink" Id="rId12"/>
    <Relationship TargetMode="External" Target="https://www.legis.iowa.gov/docs/iac/rule/481.71.10.pdf" Type="http://schemas.openxmlformats.org/officeDocument/2006/relationships/hyperlink" Id="rId13"/>
    <Relationship TargetMode="External" Target="https://www.legis.iowa.gov/docs/ico/chapter/228.1.pdf" Type="http://schemas.openxmlformats.org/officeDocument/2006/relationships/hyperlink" Id="rId14"/>
    <Relationship TargetMode="External" Target="https://www.legis.iowa.gov/docs/iac/chapter/481.59.pdf" Type="http://schemas.openxmlformats.org/officeDocument/2006/relationships/hyperlink" Id="rId15"/>
    <Relationship TargetMode="External" Target="https://www.legis.iowa.gov/docs/iac/rule/481.71.13.pdf" Type="http://schemas.openxmlformats.org/officeDocument/2006/relationships/hyperlink" Id="rId16"/>
    <Relationship TargetMode="External" Target="https://www.legis.iowa.gov/docs/ico/chapter/228.1.pdf" Type="http://schemas.openxmlformats.org/officeDocument/2006/relationships/hyperlink" Id="rId17"/>
    <Relationship TargetMode="External" Target="https://www.legis.iowa.gov/docs/iac/rule/481.71.13.pdf" Type="http://schemas.openxmlformats.org/officeDocument/2006/relationships/hyperlink" Id="rId18"/>
    <Relationship TargetMode="External" Target="https://www.legis.iowa.gov/docs/iac/rule/481.71.13.pdf" Type="http://schemas.openxmlformats.org/officeDocument/2006/relationships/hyperlink" Id="rId19"/>
    <Relationship TargetMode="External" Target="https://www.legis.iowa.gov/docs/iac/rule/481.71.13.pdf" Type="http://schemas.openxmlformats.org/officeDocument/2006/relationships/hyperlink" Id="rId20"/>
    <Relationship TargetMode="External" Target="https://www.legis.iowa.gov/docs/iac/rule/481.71.18.pdf" Type="http://schemas.openxmlformats.org/officeDocument/2006/relationships/hyperlink" Id="rId21"/>
    <Relationship TargetMode="External" Target="https://www.legis.iowa.gov/docs/ico/chapter/135G.3.pdf" Type="http://schemas.openxmlformats.org/officeDocument/2006/relationships/hyperlink" Id="rId22"/>
    <Relationship TargetMode="External" Target="https://www.legis.iowa.gov/docs/iac/rule/481.71.17.pdf" Type="http://schemas.openxmlformats.org/officeDocument/2006/relationships/hyperlink" Id="rId23"/>
    <Relationship TargetMode="External" Target="https://www.legis.iowa.gov/docs/ico/chapter/137F.2.pdf" Type="http://schemas.openxmlformats.org/officeDocument/2006/relationships/hyperlink" Id="rId24"/>
    <Relationship TargetMode="External" Target="https://www.legis.iowa.gov/docs/iac/rule/481.71.14.pdf" Type="http://schemas.openxmlformats.org/officeDocument/2006/relationships/hyperlink" Id="rId25"/>
    <Relationship TargetMode="External" Target="https://www.legis.iowa.gov/docs/iac/rule/481.71.16.pdf" Type="http://schemas.openxmlformats.org/officeDocument/2006/relationships/hyperlink" Id="rId26"/>
    <Relationship TargetMode="External" Target="https://www.legis.iowa.gov/docs/ico/chapter/142D.pdf" Type="http://schemas.openxmlformats.org/officeDocument/2006/relationships/hyperlink" Id="rId27"/>
    <Relationship TargetMode="External" Target="https://www.legis.iowa.gov/docs/ico/chapter/135G.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