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705</w:t>
      </w:r>
    </w:p>
    <w:p>
      <w:pPr>
        <w:spacing w:before="0" w:after="0"/>
        <w:ind w:left="120"/>
        <w:jc w:val="center"/>
      </w:pPr>
      <w:r>
        <w:rPr>
          <w:rFonts w:ascii="Times New Roman" w:hAnsi="Times New Roman"/>
          <w:b w:val="false"/>
          <w:i w:val="false"/>
          <w:color w:val="000000"/>
          <w:sz w:val="21"/>
        </w:rPr>
        <w:t>CONTINUING EDUCATION FOR ORTHOTISTS, PROSTHETISTS, AND PEDORTHISTS</w:t>
      </w:r>
    </w:p>
    <w:p>
      <w:pPr>
        <w:spacing w:before="0" w:after="0"/>
        <w:ind w:left="120"/>
        <w:jc w:val="center"/>
      </w:pPr>
      <w:r>
        <w:rPr>
          <w:rFonts w:ascii="Times New Roman" w:hAnsi="Times New Roman"/>
          <w:b w:val="false"/>
          <w:i w:val="false"/>
          <w:color w:val="000000"/>
          <w:sz w:val="14"/>
        </w:rPr>
        <w:t>[Prior to 9/18/24, see Professional Licensure Division[645] Ch 225]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481—705.1</w:t>
      </w:r>
      <w:r>
        <w:rPr>
          <w:rFonts w:ascii="Times New Roman" w:hAnsi="Times New Roman"/>
          <w:b/>
          <w:i w:val="false"/>
          <w:color w:val="000000"/>
          <w:sz w:val="22"/>
        </w:rPr>
        <w:t xml:space="preserve">(148F)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“ABC” </w:t>
      </w:r>
      <w:r>
        <w:rPr>
          <w:rFonts w:ascii="Times New Roman" w:hAnsi="Times New Roman"/>
          <w:b w:val="false"/>
          <w:i w:val="false"/>
          <w:color w:val="000000"/>
          <w:sz w:val="22"/>
        </w:rPr>
        <w:t>means the American Board for Certification in Orthotics, Prosthetics and Pedorthics, Incorporated.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“BOC” </w:t>
      </w:r>
      <w:r>
        <w:rPr>
          <w:rFonts w:ascii="Times New Roman" w:hAnsi="Times New Roman"/>
          <w:b w:val="false"/>
          <w:i w:val="false"/>
          <w:color w:val="000000"/>
          <w:sz w:val="22"/>
        </w:rPr>
        <w:t>means the Board of Certification/Accreditation, International.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orthotist, prosthetist, or pedorthist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481—705.2</w:t>
      </w:r>
      <w:r>
        <w:rPr>
          <w:rFonts w:ascii="Times New Roman" w:hAnsi="Times New Roman"/>
          <w:b/>
          <w:i w:val="false"/>
          <w:color w:val="000000"/>
          <w:sz w:val="22"/>
        </w:rPr>
        <w:t xml:space="preserve">(148F,272C)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July 1 of each even-numbered year and ending on June 30 of the next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biennium, each person who is licensed to practice as an orthotist in this state shall be required to complete a minimum of 30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biennium, each person who is licensed to practice as a prosthetist in this state shall be required to complete a minimum of 30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biennium, each person who is licensed to practice as a pedorthist in this state shall be required to complete a minimum of 20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705.2(2)</w:t>
      </w:r>
      <w:r>
        <w:rPr>
          <w:rFonts w:ascii="Times New Roman" w:hAnsi="Times New Roman"/>
          <w:b w:val="false"/>
          <w:i w:val="false"/>
          <w:color w:val="000000"/>
          <w:sz w:val="22"/>
        </w:rPr>
        <w:t> </w:t>
      </w:r>
      <w:r>
        <w:rPr>
          <w:rFonts w:ascii="Times New Roman" w:hAnsi="Times New Roman"/>
          <w:b w:val="false"/>
          <w:i w:val="false"/>
          <w:color w:val="000000"/>
          <w:sz w:val="22"/>
        </w:rPr>
        <w:t>Requirements for new licensees. Those persons licensed for the first time shall not be required to complete continuing education as a prerequisite for the first renewal of their licenses. Continuing education hours acquired anytime from the initial licensing until the second license renewal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new orthotic licensee will be required to complete a minimum of 30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new prosthetic licensee will be required to complete a minimum of 30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new pedorthic licensee will be required to complete a minimum of 20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will be carried over into the next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481—705.3</w:t>
      </w:r>
      <w:r>
        <w:rPr>
          <w:rFonts w:ascii="Times New Roman" w:hAnsi="Times New Roman"/>
          <w:b/>
          <w:i w:val="false"/>
          <w:color w:val="000000"/>
          <w:sz w:val="22"/>
        </w:rPr>
        <w:t xml:space="preserve">(148F,272C)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that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and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for licensees.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 attending workshops, conferences, symposiums, electronically transmitted courses, live interactive conferences, and academic courses that relate directly to the professional competency of the licensee. Official transcripts indicating successful completion of academic courses that apply to the field of orthotics, prosthetics, or pedorthics will be necessary in order to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 of credit</w:t>
      </w:r>
    </w:p>
    <w:p>
      <w:pPr>
        <w:spacing w:before="0" w:after="0"/>
        <w:ind w:left="120"/>
        <w:jc w:val="both"/>
      </w:pPr>
      <w:r>
        <w:rPr>
          <w:rFonts w:ascii="Times New Roman" w:hAnsi="Times New Roman"/>
          <w:b w:val="false"/>
          <w:i w:val="false"/>
          <w:color w:val="000000"/>
          <w:sz w:val="22"/>
        </w:rPr>
        <w:t>1 academic trimester hour = 12 continuing education hours of credit</w:t>
      </w:r>
    </w:p>
    <w:p>
      <w:pPr>
        <w:spacing w:before="0" w:after="0"/>
        <w:ind w:left="120"/>
        <w:jc w:val="both"/>
      </w:pPr>
      <w:r>
        <w:rPr>
          <w:rFonts w:ascii="Times New Roman" w:hAnsi="Times New Roman"/>
          <w:b w:val="false"/>
          <w:i w:val="false"/>
          <w:color w:val="000000"/>
          <w:sz w:val="22"/>
        </w:rPr>
        <w:t>1 academic quarter hour = 10 continuing education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 teaching in an approved college, university, or graduate school. The licensee may receive credit on a one-time basis for the first offering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granted for any of the following activities not to exceed a maximum combined total of 15 hours for orthotists and prosthetists and 10 hours for pedorthists: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listed in this rule. Two hours of credit will be awarded for each hour of presentation. A course schedule or brochure must be maintained for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Authoring research or other activities, the results of which are published in a recognized professional publication. The licensee will receive five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Viewing videotaped presentations and electronically transmitted material that have a postcourse test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 sponsoring group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facilitator or program official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official is not the only attendee;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program meets all the criteria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Participating in home study courses that have a certificate of completion and a postcourse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Participating in courses that have business-related topics: marketing, time management, government regulations,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Participating in courses that have personal skills topics: career burnout, communication skills, human relations,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Participating in courses that have general health topics: clinical research, CPR, child abuse reporting, and other like topics.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481—705.4</w:t>
      </w:r>
      <w:r>
        <w:rPr>
          <w:rFonts w:ascii="Times New Roman" w:hAnsi="Times New Roman"/>
          <w:b/>
          <w:i w:val="false"/>
          <w:color w:val="000000"/>
          <w:sz w:val="22"/>
        </w:rPr>
        <w:t xml:space="preserve">(148F,272C) </w:t>
      </w:r>
      <w:r>
        <w:rPr>
          <w:rFonts w:ascii="Times New Roman" w:hAnsi="Times New Roman"/>
          <w:b/>
          <w:i w:val="false"/>
          <w:color w:val="000000"/>
          <w:sz w:val="22"/>
        </w:rPr>
        <w:t xml:space="preserve">Audit of continuing education report. </w:t>
      </w:r>
      <w:r>
        <w:rPr>
          <w:rFonts w:ascii="Times New Roman" w:hAnsi="Times New Roman"/>
          <w:b w:val="false"/>
          <w:i w:val="false"/>
          <w:color w:val="000000"/>
          <w:sz w:val="22"/>
        </w:rPr>
        <w:t xml:space="preserve">In addition to the requirements of </w:t>
      </w:r>
      <w:hyperlink r:id="rId5">
        <w:r>
          <w:rPr>
            <w:rStyle w:val="Hyperlink"/>
            <w:rFonts w:ascii="Times New Roman" w:hAnsi="Times New Roman"/>
            <w:b w:val="false"/>
            <w:i w:val="false"/>
            <w:color w:val="000000"/>
            <w:sz w:val="22"/>
          </w:rPr>
          <w:t>645—4.11</w:t>
        </w:r>
      </w:hyperlink>
      <w:r>
        <w:rPr>
          <w:rFonts w:ascii="Times New Roman" w:hAnsi="Times New Roman"/>
          <w:b w:val="false"/>
          <w:i w:val="false"/>
          <w:color w:val="000000"/>
          <w:sz w:val="22"/>
        </w:rPr>
        <w:t>(272C), proof of current BOC or ABC certification as an orthotist, prosthetist, or pedorthist will be accepted in lieu of individual certificates of completion for an audit.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148F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1192C</w:t>
      </w:r>
      <w:r>
        <w:rPr>
          <w:rFonts w:ascii="Times New Roman" w:hAnsi="Times New Roman"/>
          <w:b w:val="false"/>
          <w:i w:val="false"/>
          <w:color w:val="000000"/>
          <w:sz w:val="21"/>
        </w:rPr>
        <w:t xml:space="preserve"> (Notice ARC 0942C,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7991C</w:t>
      </w:r>
      <w:r>
        <w:rPr>
          <w:rFonts w:ascii="Times New Roman" w:hAnsi="Times New Roman"/>
          <w:b w:val="false"/>
          <w:i w:val="false"/>
          <w:color w:val="000000"/>
          <w:sz w:val="21"/>
        </w:rPr>
        <w:t xml:space="preserve"> (Notice ARC 7180C, IAB 12/13/23)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5.4.11.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48F.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