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63</w:t>
      </w:r>
    </w:p>
    <w:p>
      <w:pPr>
        <w:spacing w:before="0" w:after="0"/>
        <w:ind w:left="120"/>
        <w:jc w:val="center"/>
      </w:pPr>
      <w:r>
        <w:rPr>
          <w:rFonts w:ascii="Times New Roman" w:hAnsi="Times New Roman"/>
          <w:b w:val="false"/>
          <w:i w:val="false"/>
          <w:color w:val="000000"/>
          <w:sz w:val="21"/>
        </w:rPr>
        <w:t>RESIDENTIAL CARE FACILITY—THREE- TO FIVE-BED SPECIALIZED LICENSE</w:t>
      </w:r>
    </w:p>
    <w:p>
      <w:pPr>
        <w:spacing w:before="0" w:after="0"/>
        <w:ind w:left="120"/>
        <w:jc w:val="center"/>
      </w:pPr>
      <w:r>
        <w:rPr>
          <w:rFonts w:ascii="Times New Roman" w:hAnsi="Times New Roman"/>
          <w:b w:val="false"/>
          <w:i w:val="false"/>
          <w:color w:val="000000"/>
          <w:sz w:val="14"/>
        </w:rPr>
        <w:t>[Prior to 7/15/87, Health Department[470] Ch 63]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481—63.1</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these rules, the following terms shall have the meanings indicated in this chapter. The definitions set out in Iowa Code section </w:t>
      </w:r>
      <w:hyperlink r:id="rId5">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shall be considered to be incorporated verbatim in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“Accommodation” </w:t>
      </w:r>
      <w:r>
        <w:rPr>
          <w:rFonts w:ascii="Times New Roman" w:hAnsi="Times New Roman"/>
          <w:b w:val="false"/>
          <w:i w:val="false"/>
          <w:color w:val="000000"/>
          <w:sz w:val="22"/>
        </w:rPr>
        <w:t>means the provision of lodging, including sleeping, dining, and living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a person approved by the department who administers, manages, supervises, and is in general administrative charge of a three- to five-bed residential care facility, whether or not such individual has an ownership interest in such facility, and whether or not the functions and duties are shared with one or more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“Ambulatory” </w:t>
      </w:r>
      <w:r>
        <w:rPr>
          <w:rFonts w:ascii="Times New Roman" w:hAnsi="Times New Roman"/>
          <w:b w:val="false"/>
          <w:i w:val="false"/>
          <w:color w:val="000000"/>
          <w:sz w:val="22"/>
        </w:rPr>
        <w:t>means the condition of a person who immediately and without aid of another person is physically and mentally capable of traveling a normal path to safety, including the ascent and descent of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“Basement” </w:t>
      </w:r>
      <w:r>
        <w:rPr>
          <w:rFonts w:ascii="Times New Roman" w:hAnsi="Times New Roman"/>
          <w:b w:val="false"/>
          <w:i w:val="false"/>
          <w:color w:val="000000"/>
          <w:sz w:val="22"/>
        </w:rPr>
        <w:t>means that part of a building where the finish floor is more than 30 inches below the finish grade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regular provision of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w:t>
      </w:r>
      <w:r>
        <w:rPr>
          <w:rFonts w:ascii="Times New Roman" w:hAnsi="Times New Roman"/>
          <w:b w:val="false"/>
          <w:i w:val="false"/>
          <w:color w:val="000000"/>
          <w:sz w:val="22"/>
        </w:rPr>
        <w:t>means the purchase, transfer, assignment or lease of a licensed three- to five-bed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“Communicable disease” </w:t>
      </w:r>
      <w:r>
        <w:rPr>
          <w:rFonts w:ascii="Times New Roman" w:hAnsi="Times New Roman"/>
          <w:b w:val="false"/>
          <w:i w:val="false"/>
          <w:color w:val="000000"/>
          <w:sz w:val="22"/>
        </w:rPr>
        <w:t>means a disease caused by the presence within a person’s body of a virus or microbial agents which may be transmitted either directly or indirectly to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state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means the group of persons who develop a single, integrated, individual program plan to meet a resident’s needs for services. The interdisciplinary team consists of, at a minimum, the resident, the resident’s legal guardian if applicable, the resident’s advocate if desired by the resident, a referral agency representative, other appropriate staff members, other providers of services, and other persons relevant to the resident’s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representative” </w:t>
      </w:r>
      <w:r>
        <w:rPr>
          <w:rFonts w:ascii="Times New Roman" w:hAnsi="Times New Roman"/>
          <w:b w:val="false"/>
          <w:i w:val="false"/>
          <w:color w:val="000000"/>
          <w:sz w:val="22"/>
        </w:rPr>
        <w:t>means the resident’s guardian or conservator if one has been appointed or the resident’s power of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“Mechanical restraint” </w:t>
      </w:r>
      <w:r>
        <w:rPr>
          <w:rFonts w:ascii="Times New Roman" w:hAnsi="Times New Roman"/>
          <w:b w:val="false"/>
          <w:i w:val="false"/>
          <w:color w:val="000000"/>
          <w:sz w:val="22"/>
        </w:rPr>
        <w:t>means restriction by the use of a mechanical device of a resident’s mobility or ability to use the hands, arms or legs.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 </w:t>
      </w:r>
      <w:r>
        <w:rPr>
          <w:rFonts w:ascii="Times New Roman" w:hAnsi="Times New Roman"/>
          <w:b w:val="false"/>
          <w:i w:val="false"/>
          <w:color w:val="000000"/>
          <w:sz w:val="22"/>
        </w:rPr>
        <w:t>means any drug, including over-the-counter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“Nonambulatory” </w:t>
      </w:r>
      <w:r>
        <w:rPr>
          <w:rFonts w:ascii="Times New Roman" w:hAnsi="Times New Roman"/>
          <w:b w:val="false"/>
          <w:i w:val="false"/>
          <w:color w:val="000000"/>
          <w:sz w:val="22"/>
        </w:rPr>
        <w:t>means the condition of a person who immediately and without the aid of another person is not physically or mentally capable of traveling a normal path to safety, including the ascent and descent of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care” </w:t>
      </w:r>
      <w:r>
        <w:rPr>
          <w:rFonts w:ascii="Times New Roman" w:hAnsi="Times New Roman"/>
          <w:b w:val="false"/>
          <w:i w:val="false"/>
          <w:color w:val="000000"/>
          <w:sz w:val="22"/>
        </w:rPr>
        <w:t>means assistance with the activities of daily living which the recipient can perform only with difficulty. Examples are help in getting in and out of bed, assistance with personal hygiene and bathing, help with dressing and eating, and supervision over medications which can be self-administered.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restraint” </w:t>
      </w:r>
      <w:r>
        <w:rPr>
          <w:rFonts w:ascii="Times New Roman" w:hAnsi="Times New Roman"/>
          <w:b w:val="false"/>
          <w:i w:val="false"/>
          <w:color w:val="000000"/>
          <w:sz w:val="22"/>
        </w:rPr>
        <w:t>means direct physical contact on the part of a staff person to control a resident’s physical activity for the resident’s own protection or for the protection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 provider” </w:t>
      </w:r>
      <w:r>
        <w:rPr>
          <w:rFonts w:ascii="Times New Roman" w:hAnsi="Times New Roman"/>
          <w:b w:val="false"/>
          <w:i w:val="false"/>
          <w:color w:val="000000"/>
          <w:sz w:val="22"/>
        </w:rPr>
        <w:t>means any of the following who provide primary care and meet licensure standards: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physician who is a family or general practitioner or an internist.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advanced registered nurse practitioner.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of care” </w:t>
      </w:r>
      <w:r>
        <w:rPr>
          <w:rFonts w:ascii="Times New Roman" w:hAnsi="Times New Roman"/>
          <w:b w:val="false"/>
          <w:i w:val="false"/>
          <w:color w:val="000000"/>
          <w:sz w:val="22"/>
        </w:rPr>
        <w:t>means all services being provided for a resident in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“Prone restraint” </w:t>
      </w:r>
      <w:r>
        <w:rPr>
          <w:rFonts w:ascii="Times New Roman" w:hAnsi="Times New Roman"/>
          <w:b w:val="false"/>
          <w:i w:val="false"/>
          <w:color w:val="000000"/>
          <w:sz w:val="22"/>
        </w:rPr>
        <w:t>means a restraint in which a resident is in a face-down position against the floor or another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“Rate” </w:t>
      </w:r>
      <w:r>
        <w:rPr>
          <w:rFonts w:ascii="Times New Roman" w:hAnsi="Times New Roman"/>
          <w:b w:val="false"/>
          <w:i w:val="false"/>
          <w:color w:val="000000"/>
          <w:sz w:val="22"/>
        </w:rPr>
        <w:t>means that daily fee charged for all residents equally and shall include the cost of all minimum services required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includes electronic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party” </w:t>
      </w:r>
      <w:r>
        <w:rPr>
          <w:rFonts w:ascii="Times New Roman" w:hAnsi="Times New Roman"/>
          <w:b w:val="false"/>
          <w:i w:val="false"/>
          <w:color w:val="000000"/>
          <w:sz w:val="22"/>
        </w:rPr>
        <w:t xml:space="preserve">means the person who signs or cosigns the residency agreement required by rule </w:t>
      </w:r>
      <w:hyperlink r:id="rId6">
        <w:r>
          <w:rPr>
            <w:rStyle w:val="Hyperlink"/>
            <w:rFonts w:ascii="Times New Roman" w:hAnsi="Times New Roman"/>
            <w:b w:val="false"/>
            <w:i w:val="false"/>
            <w:color w:val="000000"/>
            <w:sz w:val="22"/>
          </w:rPr>
          <w:t>481—63.12</w:t>
        </w:r>
      </w:hyperlink>
      <w:r>
        <w:rPr>
          <w:rFonts w:ascii="Times New Roman" w:hAnsi="Times New Roman"/>
          <w:b w:val="false"/>
          <w:i w:val="false"/>
          <w:color w:val="000000"/>
          <w:sz w:val="22"/>
        </w:rPr>
        <w:t>(135C) or the resident’s legal representative. In the event that a resident has neither a legal representative nor a person who signed or cosigned the resident’s residency agreement, the term “responsible party” shall include the resident’s sponsoring agency, e.g., the department of human services, the U.S. Department of Veterans Affairs, a religious group, fraternal organization, or foundation that assumes responsibility and advocates for its client patients and pays for their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“Restraints” </w:t>
      </w:r>
      <w:r>
        <w:rPr>
          <w:rFonts w:ascii="Times New Roman" w:hAnsi="Times New Roman"/>
          <w:b w:val="false"/>
          <w:i w:val="false"/>
          <w:color w:val="000000"/>
          <w:sz w:val="22"/>
        </w:rPr>
        <w:t>means the measures taken to control a resident’s physical activity for the resident’s own protection or for the protection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“Specialized residential care facility license” </w:t>
      </w:r>
      <w:r>
        <w:rPr>
          <w:rFonts w:ascii="Times New Roman" w:hAnsi="Times New Roman"/>
          <w:b w:val="false"/>
          <w:i w:val="false"/>
          <w:color w:val="000000"/>
          <w:sz w:val="22"/>
        </w:rPr>
        <w:t>means a license for three- to five-bed residential care facilities serving persons with an intellectual disability, chronic mental illness, a developmental disability or brain injury.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w:t>
      </w:r>
      <w:r>
        <w:rPr>
          <w:rFonts w:ascii="Times New Roman" w:hAnsi="Times New Roman"/>
          <w:b/>
          <w:i w:val="false"/>
          <w:color w:val="000000"/>
          <w:sz w:val="22"/>
        </w:rPr>
        <w:t xml:space="preserve">(135C,17A) </w:t>
      </w:r>
      <w:r>
        <w:rPr>
          <w:rFonts w:ascii="Times New Roman" w:hAnsi="Times New Roman"/>
          <w:b/>
          <w:i w:val="false"/>
          <w:color w:val="000000"/>
          <w:sz w:val="22"/>
        </w:rPr>
        <w:t xml:space="preserve">Waiver. </w:t>
      </w:r>
      <w:r>
        <w:rPr>
          <w:rFonts w:ascii="Times New Roman" w:hAnsi="Times New Roman"/>
          <w:b w:val="false"/>
          <w:i w:val="false"/>
          <w:color w:val="000000"/>
          <w:sz w:val="22"/>
        </w:rPr>
        <w:t xml:space="preserve">A waiver from these rules may be granted by the director of the department in accordance with </w:t>
      </w:r>
      <w:hyperlink r:id="rId7">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A request for waiver will be granted or denied by the director within 120 calendar days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w:t>
      </w:r>
      <w:r>
        <w:rPr>
          <w:rFonts w:ascii="Times New Roman" w:hAnsi="Times New Roman"/>
          <w:b/>
          <w:i w:val="false"/>
          <w:color w:val="000000"/>
          <w:sz w:val="22"/>
        </w:rPr>
        <w:t xml:space="preserve">(135C) </w:t>
      </w:r>
      <w:r>
        <w:rPr>
          <w:rFonts w:ascii="Times New Roman" w:hAnsi="Times New Roman"/>
          <w:b/>
          <w:i w:val="false"/>
          <w:color w:val="000000"/>
          <w:sz w:val="22"/>
        </w:rPr>
        <w:t xml:space="preserve">Application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licensing—new facility or change of ownership. </w:t>
      </w:r>
      <w:r>
        <w:rPr>
          <w:rFonts w:ascii="Times New Roman" w:hAnsi="Times New Roman"/>
          <w:b w:val="false"/>
          <w:i w:val="false"/>
          <w:color w:val="000000"/>
          <w:sz w:val="22"/>
        </w:rPr>
        <w:t>In order to obtain a specialized residential care facility license for a facility not currently licensed as a specialized residential care facility or for a specialized residential care facility when a change of ownership is contemplated,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Make application at least 30 days prior to the proposed opening date of the facility. Application shall be made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of the rules, regulations, and standards contained in this chapter and in </w:t>
      </w:r>
      <w:hyperlink r:id="rId8">
        <w:r>
          <w:rPr>
            <w:rStyle w:val="Hyperlink"/>
            <w:rFonts w:ascii="Times New Roman" w:hAnsi="Times New Roman"/>
            <w:b w:val="false"/>
            <w:i w:val="false"/>
            <w:color w:val="000000"/>
            <w:sz w:val="22"/>
          </w:rPr>
          <w:t>481—Chapter 50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letter of intent and a written résumé of care. The résumé of care shall meet the requirements of </w:t>
      </w:r>
      <w:hyperlink r:id="rId9">
        <w:r>
          <w:rPr>
            <w:rStyle w:val="Hyperlink"/>
            <w:rFonts w:ascii="Times New Roman" w:hAnsi="Times New Roman"/>
            <w:b w:val="false"/>
            <w:i w:val="false"/>
            <w:color w:val="000000"/>
            <w:sz w:val="22"/>
          </w:rPr>
          <w:t>subrule 63.3(2)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 floor plan of each floor of the residential care facility. The floor plan of each floor shall be drawn on 8½″ × 11″ paper, show room areas in proportion, room dimensions, window and door locations, designation of the use of each room, and the room numbers for all rooms, including bathrooms.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a photograph of the front and side of the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fee for a specialized residential care facility license in accordance with </w:t>
      </w:r>
      <w:hyperlink r:id="rId10">
        <w:r>
          <w:rPr>
            <w:rStyle w:val="Hyperlink"/>
            <w:rFonts w:ascii="Times New Roman" w:hAnsi="Times New Roman"/>
            <w:b w:val="false"/>
            <w:i w:val="false"/>
            <w:color w:val="000000"/>
            <w:sz w:val="22"/>
          </w:rPr>
          <w:t>481—paragraph 50.3(2)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Comply with all other local statutes and ordinances in existence at the time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Submit a certificate signed by the state or local fire inspection authority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63.3(2)</w:t>
      </w:r>
      <w:r>
        <w:rPr>
          <w:rFonts w:ascii="Times New Roman" w:hAnsi="Times New Roman"/>
          <w:b w:val="false"/>
          <w:i w:val="false"/>
          <w:color w:val="000000"/>
          <w:sz w:val="22"/>
        </w:rPr>
        <w:t> </w:t>
      </w:r>
      <w:r>
        <w:rPr>
          <w:rFonts w:ascii="Times New Roman" w:hAnsi="Times New Roman"/>
          <w:b w:val="false"/>
          <w:i/>
          <w:color w:val="000000"/>
          <w:sz w:val="22"/>
        </w:rPr>
        <w:t xml:space="preserve">Résumé of care. </w:t>
      </w:r>
      <w:r>
        <w:rPr>
          <w:rFonts w:ascii="Times New Roman" w:hAnsi="Times New Roman"/>
          <w:b w:val="false"/>
          <w:i w:val="false"/>
          <w:color w:val="000000"/>
          <w:sz w:val="22"/>
        </w:rPr>
        <w:t>The résumé of care shall describe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Purpose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Criteria for admission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Ownership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Composition and responsibilities of the governing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Qualifications and responsibilities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Medical services provided to residents, to include the availability of emergency medical services in the area and the designation of a primary care provider to be responsible for residents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Dental services provided to residents and available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Nursing services provided to residents,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Personal services provided to residents, including supervision of or assistance with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Activity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Dietary services, including qualifications of the person in charge, consultation service (if applicable) and meal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Other services available as applicable, including social services, physical therapy, occupational therapy, and recreational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Housekeeping;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Laundry;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Physical plant;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Staffing provided to meet residents’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w:t>
      </w:r>
      <w:r>
        <w:rPr>
          <w:rFonts w:ascii="Times New Roman" w:hAnsi="Times New Roman"/>
          <w:b w:val="false"/>
          <w:i w:val="false"/>
          <w:color w:val="000000"/>
          <w:sz w:val="22"/>
        </w:rPr>
        <w:t>In order to obtain a renewal of the specialized residential care facility license, the applicant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completed application form 30 days prior to the annual license renewal date of the residential care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specialized residential care facility license in accordance with </w:t>
      </w:r>
      <w:hyperlink r:id="rId11">
        <w:r>
          <w:rPr>
            <w:rStyle w:val="Hyperlink"/>
            <w:rFonts w:ascii="Times New Roman" w:hAnsi="Times New Roman"/>
            <w:b w:val="false"/>
            <w:i w:val="false"/>
            <w:color w:val="000000"/>
            <w:sz w:val="22"/>
          </w:rPr>
          <w:t>481—paragraph 50.3(2)</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approved current certificate signed by the state or local fire inspection authority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Changes to the résumé of care,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Changes to the current residency agreement, if 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4577C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481—63.4</w:t>
      </w:r>
      <w:r>
        <w:rPr>
          <w:rFonts w:ascii="Times New Roman" w:hAnsi="Times New Roman"/>
          <w:b/>
          <w:i w:val="false"/>
          <w:color w:val="000000"/>
          <w:sz w:val="22"/>
        </w:rPr>
        <w:t xml:space="preserve">(135C) </w:t>
      </w:r>
      <w:r>
        <w:rPr>
          <w:rFonts w:ascii="Times New Roman" w:hAnsi="Times New Roman"/>
          <w:b/>
          <w:i w:val="false"/>
          <w:color w:val="000000"/>
          <w:sz w:val="22"/>
        </w:rPr>
        <w:t xml:space="preserve">Issuance of license. </w:t>
      </w:r>
      <w:r>
        <w:rPr>
          <w:rFonts w:ascii="Times New Roman" w:hAnsi="Times New Roman"/>
          <w:b w:val="false"/>
          <w:i w:val="false"/>
          <w:color w:val="000000"/>
          <w:sz w:val="22"/>
        </w:rPr>
        <w:t>Licenses are issued to the person, entity or governmental unit with responsibility for the operation of the facility and for compliance with all applicable statutes, rules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481—63.5</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63.5(1)</w:t>
      </w:r>
      <w:r>
        <w:rPr>
          <w:rFonts w:ascii="Times New Roman" w:hAnsi="Times New Roman"/>
          <w:b w:val="false"/>
          <w:i w:val="false"/>
          <w:color w:val="000000"/>
          <w:sz w:val="22"/>
        </w:rPr>
        <w:t> </w:t>
      </w:r>
      <w:r>
        <w:rPr>
          <w:rFonts w:ascii="Times New Roman" w:hAnsi="Times New Roman"/>
          <w:b w:val="false"/>
          <w:i w:val="false"/>
          <w:color w:val="000000"/>
          <w:sz w:val="22"/>
        </w:rPr>
        <w:t>The license shall be displayed in the facility in a conspicuous place which is accessible to the public.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w:t>
      </w:r>
      <w:r>
        <w:rPr>
          <w:rFonts w:ascii="Times New Roman" w:hAnsi="Times New Roman"/>
          <w:b w:val="false"/>
          <w:i w:val="false"/>
          <w:color w:val="000000"/>
          <w:sz w:val="22"/>
        </w:rPr>
        <w:t> </w:t>
      </w:r>
      <w:r>
        <w:rPr>
          <w:rFonts w:ascii="Times New Roman" w:hAnsi="Times New Roman"/>
          <w:b w:val="false"/>
          <w:i w:val="false"/>
          <w:color w:val="000000"/>
          <w:sz w:val="22"/>
        </w:rPr>
        <w:t>The license shall be valid only in the possession of the licensee to whom 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63.5(3)</w:t>
      </w:r>
      <w:r>
        <w:rPr>
          <w:rFonts w:ascii="Times New Roman" w:hAnsi="Times New Roman"/>
          <w:b w:val="false"/>
          <w:i w:val="false"/>
          <w:color w:val="000000"/>
          <w:sz w:val="22"/>
        </w:rPr>
        <w:t> </w:t>
      </w:r>
      <w:r>
        <w:rPr>
          <w:rFonts w:ascii="Times New Roman" w:hAnsi="Times New Roman"/>
          <w:b w:val="false"/>
          <w:i w:val="false"/>
          <w:color w:val="000000"/>
          <w:sz w:val="22"/>
        </w:rPr>
        <w:t>The posted license shall accurately reflect the current status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63.5(4)</w:t>
      </w:r>
      <w:r>
        <w:rPr>
          <w:rFonts w:ascii="Times New Roman" w:hAnsi="Times New Roman"/>
          <w:b w:val="false"/>
          <w:i w:val="false"/>
          <w:color w:val="000000"/>
          <w:sz w:val="22"/>
        </w:rPr>
        <w:t> </w:t>
      </w:r>
      <w:r>
        <w:rPr>
          <w:rFonts w:ascii="Times New Roman" w:hAnsi="Times New Roman"/>
          <w:b w:val="false"/>
          <w:i w:val="false"/>
          <w:color w:val="000000"/>
          <w:sz w:val="22"/>
        </w:rPr>
        <w:t>The license shall expire one year after the date of issuance or as indicated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63.5(5)</w:t>
      </w:r>
      <w:r>
        <w:rPr>
          <w:rFonts w:ascii="Times New Roman" w:hAnsi="Times New Roman"/>
          <w:b w:val="false"/>
          <w:i w:val="false"/>
          <w:color w:val="000000"/>
          <w:sz w:val="22"/>
        </w:rPr>
        <w:t> </w:t>
      </w:r>
      <w:r>
        <w:rPr>
          <w:rFonts w:ascii="Times New Roman" w:hAnsi="Times New Roman"/>
          <w:b w:val="false"/>
          <w:i w:val="false"/>
          <w:color w:val="000000"/>
          <w:sz w:val="22"/>
        </w:rPr>
        <w:t>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Assume the responsibility for the overall operation of the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responsible for compliance with all applicable laws and with the rules of the department.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an organized continuous 24-hour program of care commensurate with the needs of the residents.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63.5(6)</w:t>
      </w:r>
      <w:r>
        <w:rPr>
          <w:rFonts w:ascii="Times New Roman" w:hAnsi="Times New Roman"/>
          <w:b w:val="false"/>
          <w:i w:val="false"/>
          <w:color w:val="000000"/>
          <w:sz w:val="22"/>
        </w:rPr>
        <w:t> </w:t>
      </w:r>
      <w:r>
        <w:rPr>
          <w:rFonts w:ascii="Times New Roman" w:hAnsi="Times New Roman"/>
          <w:b w:val="false"/>
          <w:i w:val="false"/>
          <w:color w:val="000000"/>
          <w:sz w:val="22"/>
        </w:rPr>
        <w:t>Each citation or a copy of each citation issued by the department for a class I or class II violation shall be prominently posted by the facility in plain view of the residents, visitors, and persons inquiring about placement in the facility. The citation or copy of the citation shall remain posted until the violation is corrected to the satisfaction of the department.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481—63.6</w:t>
      </w:r>
      <w:r>
        <w:rPr>
          <w:rFonts w:ascii="Times New Roman" w:hAnsi="Times New Roman"/>
          <w:b/>
          <w:i w:val="false"/>
          <w:color w:val="000000"/>
          <w:sz w:val="22"/>
        </w:rPr>
        <w:t xml:space="preserve">(135C) </w:t>
      </w:r>
      <w:r>
        <w:rPr>
          <w:rFonts w:ascii="Times New Roman" w:hAnsi="Times New Roman"/>
          <w:b/>
          <w:i w:val="false"/>
          <w:color w:val="000000"/>
          <w:sz w:val="22"/>
        </w:rPr>
        <w:t xml:space="preserve">Required notifications to the department. </w:t>
      </w:r>
      <w:r>
        <w:rPr>
          <w:rFonts w:ascii="Times New Roman" w:hAnsi="Times New Roman"/>
          <w:b w:val="false"/>
          <w:i w:val="false"/>
          <w:color w:val="000000"/>
          <w:sz w:val="22"/>
        </w:rPr>
        <w:t>The department shall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63.6(1)</w:t>
      </w:r>
      <w:r>
        <w:rPr>
          <w:rFonts w:ascii="Times New Roman" w:hAnsi="Times New Roman"/>
          <w:b w:val="false"/>
          <w:i w:val="false"/>
          <w:color w:val="000000"/>
          <w:sz w:val="22"/>
        </w:rPr>
        <w:t> </w:t>
      </w:r>
      <w:r>
        <w:rPr>
          <w:rFonts w:ascii="Times New Roman" w:hAnsi="Times New Roman"/>
          <w:b w:val="false"/>
          <w:i w:val="false"/>
          <w:color w:val="000000"/>
          <w:sz w:val="22"/>
        </w:rPr>
        <w:t>Thirty days before any proposed change in the residential care facility’s functional operation or addition or deletion of required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63.6(2)</w:t>
      </w:r>
      <w:r>
        <w:rPr>
          <w:rFonts w:ascii="Times New Roman" w:hAnsi="Times New Roman"/>
          <w:b w:val="false"/>
          <w:i w:val="false"/>
          <w:color w:val="000000"/>
          <w:sz w:val="22"/>
        </w:rPr>
        <w:t> </w:t>
      </w:r>
      <w:r>
        <w:rPr>
          <w:rFonts w:ascii="Times New Roman" w:hAnsi="Times New Roman"/>
          <w:b w:val="false"/>
          <w:i w:val="false"/>
          <w:color w:val="000000"/>
          <w:sz w:val="22"/>
        </w:rPr>
        <w:t>Thirty days before the beginning of the renovation, addition, functional alteration, change of space utilization, or conversion in the residential care facility or on the premises;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63.6(3)</w:t>
      </w:r>
      <w:r>
        <w:rPr>
          <w:rFonts w:ascii="Times New Roman" w:hAnsi="Times New Roman"/>
          <w:b w:val="false"/>
          <w:i w:val="false"/>
          <w:color w:val="000000"/>
          <w:sz w:val="22"/>
        </w:rPr>
        <w:t> </w:t>
      </w:r>
      <w:r>
        <w:rPr>
          <w:rFonts w:ascii="Times New Roman" w:hAnsi="Times New Roman"/>
          <w:b w:val="false"/>
          <w:i w:val="false"/>
          <w:color w:val="000000"/>
          <w:sz w:val="22"/>
        </w:rPr>
        <w:t>Thirty days before closure of the residential care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63.6(4)</w:t>
      </w:r>
      <w:r>
        <w:rPr>
          <w:rFonts w:ascii="Times New Roman" w:hAnsi="Times New Roman"/>
          <w:b w:val="false"/>
          <w:i w:val="false"/>
          <w:color w:val="000000"/>
          <w:sz w:val="22"/>
        </w:rPr>
        <w:t> </w:t>
      </w:r>
      <w:r>
        <w:rPr>
          <w:rFonts w:ascii="Times New Roman" w:hAnsi="Times New Roman"/>
          <w:b w:val="false"/>
          <w:i w:val="false"/>
          <w:color w:val="000000"/>
          <w:sz w:val="22"/>
        </w:rPr>
        <w:t>Within two weeks of any change in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63.6(5)</w:t>
      </w:r>
      <w:r>
        <w:rPr>
          <w:rFonts w:ascii="Times New Roman" w:hAnsi="Times New Roman"/>
          <w:b w:val="false"/>
          <w:i w:val="false"/>
          <w:color w:val="000000"/>
          <w:sz w:val="22"/>
        </w:rPr>
        <w:t> </w:t>
      </w:r>
      <w:r>
        <w:rPr>
          <w:rFonts w:ascii="Times New Roman" w:hAnsi="Times New Roman"/>
          <w:b w:val="false"/>
          <w:i w:val="false"/>
          <w:color w:val="000000"/>
          <w:sz w:val="22"/>
        </w:rPr>
        <w:t>Ninety days before a change in the category of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63.6(6)</w:t>
      </w:r>
      <w:r>
        <w:rPr>
          <w:rFonts w:ascii="Times New Roman" w:hAnsi="Times New Roman"/>
          <w:b w:val="false"/>
          <w:i w:val="false"/>
          <w:color w:val="000000"/>
          <w:sz w:val="22"/>
        </w:rPr>
        <w:t> </w:t>
      </w:r>
      <w:r>
        <w:rPr>
          <w:rFonts w:ascii="Times New Roman" w:hAnsi="Times New Roman"/>
          <w:b w:val="false"/>
          <w:i w:val="false"/>
          <w:color w:val="000000"/>
          <w:sz w:val="22"/>
        </w:rPr>
        <w:t>Thirty days before a change of ownership.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pending change of ownership;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name and address of the prospective purchaser, transferee, assignee, or lessee;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written authorization to the department permitting the department to release all information of whatever kind from the department’s files concerning the licensee’s residential care facility to the named prospective purchaser, transferee, assignee, or lessee.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481—63.7</w:t>
      </w:r>
      <w:r>
        <w:rPr>
          <w:rFonts w:ascii="Times New Roman" w:hAnsi="Times New Roman"/>
          <w:b/>
          <w:i w:val="false"/>
          <w:color w:val="000000"/>
          <w:sz w:val="22"/>
        </w:rPr>
        <w:t xml:space="preserve">(135C) </w:t>
      </w:r>
      <w:r>
        <w:rPr>
          <w:rFonts w:ascii="Times New Roman" w:hAnsi="Times New Roman"/>
          <w:b/>
          <w:i w:val="false"/>
          <w:color w:val="000000"/>
          <w:sz w:val="22"/>
        </w:rPr>
        <w:t xml:space="preserve">Administrator. </w:t>
      </w:r>
      <w:r>
        <w:rPr>
          <w:rFonts w:ascii="Times New Roman" w:hAnsi="Times New Roman"/>
          <w:b w:val="false"/>
          <w:i w:val="false"/>
          <w:color w:val="000000"/>
          <w:sz w:val="22"/>
        </w:rPr>
        <w:t>Each facility shall have one person in charge, duly approved by the department or acting in a provisional capacity in accordance with these rules.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of an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be at least 21 years of age and shall have a high school diploma or equivalent. (III) In addition, this person shall meet at least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two-year degree in human services, psychology, sociology, nursing, health care administration, public administration, or a related field and have a minimum of two years’ experience in the field;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four-year degree in human services, psychology, sociology, nursing, health care administration, public administration, or a related field and have a minimum of one year of experience in the field;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 master’s degree in human services, psychology, sociology, nursing, health care administration, public administration, or a related field and have a minimum of one year of experience in the field;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 licensed nursing home administrator;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completed a one-year educational training program approved by the department for residential care facility administrators;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Have passed the National Association of Long Term Care Administrator Boards (NAB) RC/AL administrator licensure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Have two years of direct care experience and at least six months of administrative experience in a residential care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have at least one year of documented experience in a supervisory or direct care position working with persons with an intellectual disability, mental illness, a developmental disability, or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individual employed as an administrator on May 16, 2018, will be deemed to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63.7(2)</w:t>
      </w:r>
      <w:r>
        <w:rPr>
          <w:rFonts w:ascii="Times New Roman" w:hAnsi="Times New Roman"/>
          <w:b w:val="false"/>
          <w:i w:val="false"/>
          <w:color w:val="000000"/>
          <w:sz w:val="22"/>
        </w:rPr>
        <w:t> </w:t>
      </w:r>
      <w:r>
        <w:rPr>
          <w:rFonts w:ascii="Times New Roman" w:hAnsi="Times New Roman"/>
          <w:b w:val="false"/>
          <w:i/>
          <w:color w:val="000000"/>
          <w:sz w:val="22"/>
        </w:rPr>
        <w:t xml:space="preserve">Duties of an administrator. </w:t>
      </w:r>
      <w:r>
        <w:rPr>
          <w:rFonts w:ascii="Times New Roman" w:hAnsi="Times New Roman"/>
          <w:b w:val="false"/>
          <w:i w:val="false"/>
          <w:color w:val="000000"/>
          <w:sz w:val="22"/>
        </w:rPr>
        <w:t>The administrator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Select and direct competent personnel who provide services for the residential care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in-service educational programming for all employees with direct resident contact and maintain records of programs and participants. (III) In-service educational programming offered during each calendar year shall include, at minimum, the following topics: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Infection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(e.g., fire, tornado, flood, 911).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Meal time procedures/dietary.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Resident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Mental illness, brain injury or intellectual disabilities, including behavioral intervention, de-escalation, and crisis intervention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Resident safety/supervision.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Resident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Medication education, to include administration, storage and drug interactions.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Resident service plans/programming/goals.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63.7(3)</w:t>
      </w:r>
      <w:r>
        <w:rPr>
          <w:rFonts w:ascii="Times New Roman" w:hAnsi="Times New Roman"/>
          <w:b w:val="false"/>
          <w:i w:val="false"/>
          <w:color w:val="000000"/>
          <w:sz w:val="22"/>
        </w:rPr>
        <w:t> </w:t>
      </w:r>
      <w:r>
        <w:rPr>
          <w:rFonts w:ascii="Times New Roman" w:hAnsi="Times New Roman"/>
          <w:b w:val="false"/>
          <w:i/>
          <w:color w:val="000000"/>
          <w:sz w:val="22"/>
        </w:rPr>
        <w:t xml:space="preserve">Administrator serving at more than one residential care facility. </w:t>
      </w:r>
      <w:r>
        <w:rPr>
          <w:rFonts w:ascii="Times New Roman" w:hAnsi="Times New Roman"/>
          <w:b w:val="false"/>
          <w:i w:val="false"/>
          <w:color w:val="000000"/>
          <w:sz w:val="22"/>
        </w:rPr>
        <w:t>The administrator may be responsible for no more than 150 beds in total if the administrator is an administrator of more than one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administrator of more than one facility shall designate in writing an administrative staff person in each facility who shall be responsible for directing programs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staff person designated by the administrator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at least one year of documented experience in a supervisory or direct care position working with persons with an intellectual disability, mental illness, a developmental disability, or brain injury;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operation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access to records concerned with the operation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capable of carrying out administrative duties and of assuming administrative responsibilities;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 empowered to act on behalf of the licensee concerning the health, safety and welfare of the residents; and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Have training in emergency response, including how to respond to residents’ sudden illnesses.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administrator serves more than one facility, the administrator must designate in writing regular and specific times during which the administrator will be available to consult with staff and residents to provide direction and supervision of resident care and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63.7(4)</w:t>
      </w:r>
      <w:r>
        <w:rPr>
          <w:rFonts w:ascii="Times New Roman" w:hAnsi="Times New Roman"/>
          <w:b w:val="false"/>
          <w:i w:val="false"/>
          <w:color w:val="000000"/>
          <w:sz w:val="22"/>
        </w:rPr>
        <w:t> </w:t>
      </w:r>
      <w:r>
        <w:rPr>
          <w:rFonts w:ascii="Times New Roman" w:hAnsi="Times New Roman"/>
          <w:b w:val="false"/>
          <w:i/>
          <w:color w:val="000000"/>
          <w:sz w:val="22"/>
        </w:rPr>
        <w:t xml:space="preserve">Provisional administrator. </w:t>
      </w:r>
      <w:r>
        <w:rPr>
          <w:rFonts w:ascii="Times New Roman" w:hAnsi="Times New Roman"/>
          <w:b w:val="false"/>
          <w:i w:val="false"/>
          <w:color w:val="000000"/>
          <w:sz w:val="22"/>
        </w:rPr>
        <w:t xml:space="preserve">A provisional administrator may be appointed on a temporary basis by the residential care facility licensee to assume the administrative responsibilities for a residential care facility for a period not to exceed one year when the facility has lost its administrator and has not been able to replace the administrator, provided that the department has been notified and has approved the provisional administrator prior to the date of the provisional administrator’s appointment. (III) The provisional administrator must meet the requirements of </w:t>
      </w:r>
      <w:hyperlink r:id="rId12">
        <w:r>
          <w:rPr>
            <w:rStyle w:val="Hyperlink"/>
            <w:rFonts w:ascii="Times New Roman" w:hAnsi="Times New Roman"/>
            <w:b w:val="false"/>
            <w:i w:val="false"/>
            <w:color w:val="000000"/>
            <w:sz w:val="22"/>
          </w:rPr>
          <w:t>paragraph 63.7(3)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63.7(5)</w:t>
      </w:r>
      <w:r>
        <w:rPr>
          <w:rFonts w:ascii="Times New Roman" w:hAnsi="Times New Roman"/>
          <w:b w:val="false"/>
          <w:i w:val="false"/>
          <w:color w:val="000000"/>
          <w:sz w:val="22"/>
        </w:rPr>
        <w:t> </w:t>
      </w:r>
      <w:r>
        <w:rPr>
          <w:rFonts w:ascii="Times New Roman" w:hAnsi="Times New Roman"/>
          <w:b w:val="false"/>
          <w:i/>
          <w:color w:val="000000"/>
          <w:sz w:val="22"/>
        </w:rPr>
        <w:t xml:space="preserve">Temporary absence of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temporary absence of the administrator, a responsible person shall be designated in writing to the department to be in charge of the facility. (III) The person designated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operation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access to records concerned with the operation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capable of carrying out administrative duties and of assuming administrative responsibilities;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empowered to act on behalf of the licensee during the administrator’s absence concerning the health, safety, and welfare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Have training in emergency response, including how to respond to residents’ sudden illnesses.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administrator is absent for more than six weeks, a provisional administrator must be appointed pursuant to </w:t>
      </w:r>
      <w:hyperlink r:id="rId13">
        <w:r>
          <w:rPr>
            <w:rStyle w:val="Hyperlink"/>
            <w:rFonts w:ascii="Times New Roman" w:hAnsi="Times New Roman"/>
            <w:b w:val="false"/>
            <w:i w:val="false"/>
            <w:color w:val="000000"/>
            <w:sz w:val="22"/>
          </w:rPr>
          <w:t>subrule 63.7(4)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481—63.8</w:t>
      </w:r>
      <w:r>
        <w:rPr>
          <w:rFonts w:ascii="Times New Roman" w:hAnsi="Times New Roman"/>
          <w:b/>
          <w:i w:val="false"/>
          <w:color w:val="000000"/>
          <w:sz w:val="22"/>
        </w:rPr>
        <w:t xml:space="preserve">(135C) </w:t>
      </w:r>
      <w:r>
        <w:rPr>
          <w:rFonts w:ascii="Times New Roman" w:hAnsi="Times New Roman"/>
          <w:b/>
          <w:i w:val="false"/>
          <w:color w:val="000000"/>
          <w:sz w:val="22"/>
        </w:rPr>
        <w:t xml:space="preserve">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63.8(1)</w:t>
      </w:r>
      <w:r>
        <w:rPr>
          <w:rFonts w:ascii="Times New Roman" w:hAnsi="Times New Roman"/>
          <w:b w:val="false"/>
          <w:i w:val="false"/>
          <w:color w:val="000000"/>
          <w:sz w:val="22"/>
        </w:rPr>
        <w:t> </w:t>
      </w:r>
      <w:r>
        <w:rPr>
          <w:rFonts w:ascii="Times New Roman" w:hAnsi="Times New Roman"/>
          <w:b w:val="false"/>
          <w:i/>
          <w:color w:val="000000"/>
          <w:sz w:val="22"/>
        </w:rPr>
        <w:t xml:space="preserve">Alcohol and drug use prohibited. </w:t>
      </w:r>
      <w:r>
        <w:rPr>
          <w:rFonts w:ascii="Times New Roman" w:hAnsi="Times New Roman"/>
          <w:b w:val="false"/>
          <w:i w:val="false"/>
          <w:color w:val="000000"/>
          <w:sz w:val="22"/>
        </w:rPr>
        <w:t>No person under the influence of intoxicating drugs or alcoholic beverages shall be permitted to provide services in a residential care facility.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63.8(2)</w:t>
      </w:r>
      <w:r>
        <w:rPr>
          <w:rFonts w:ascii="Times New Roman" w:hAnsi="Times New Roman"/>
          <w:b w:val="false"/>
          <w:i w:val="false"/>
          <w:color w:val="000000"/>
          <w:sz w:val="22"/>
        </w:rPr>
        <w:t> </w:t>
      </w:r>
      <w:r>
        <w:rPr>
          <w:rFonts w:ascii="Times New Roman" w:hAnsi="Times New Roman"/>
          <w:b w:val="false"/>
          <w:i/>
          <w:color w:val="000000"/>
          <w:sz w:val="22"/>
        </w:rPr>
        <w:t xml:space="preserve">Job description. </w:t>
      </w:r>
      <w:r>
        <w:rPr>
          <w:rFonts w:ascii="Times New Roman" w:hAnsi="Times New Roman"/>
          <w:b w:val="false"/>
          <w:i w:val="false"/>
          <w:color w:val="000000"/>
          <w:sz w:val="22"/>
        </w:rPr>
        <w:t>There shall be a written job description developed for each category of worker. The job description shall include the job title, responsibilities and qualifications.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63.8(3)</w:t>
      </w:r>
      <w:r>
        <w:rPr>
          <w:rFonts w:ascii="Times New Roman" w:hAnsi="Times New Roman"/>
          <w:b w:val="false"/>
          <w:i w:val="false"/>
          <w:color w:val="000000"/>
          <w:sz w:val="22"/>
        </w:rPr>
        <w:t> </w:t>
      </w:r>
      <w:r>
        <w:rPr>
          <w:rFonts w:ascii="Times New Roman" w:hAnsi="Times New Roman"/>
          <w:b w:val="false"/>
          <w:i/>
          <w:color w:val="000000"/>
          <w:sz w:val="22"/>
        </w:rPr>
        <w:t xml:space="preserve">Employee criminal record, child abuse and dependent adult abuse checks and employment of individuals who have committed a crime or have a founded abuse. </w:t>
      </w:r>
      <w:r>
        <w:rPr>
          <w:rFonts w:ascii="Times New Roman" w:hAnsi="Times New Roman"/>
          <w:b w:val="false"/>
          <w:i w:val="false"/>
          <w:color w:val="000000"/>
          <w:sz w:val="22"/>
        </w:rPr>
        <w:t xml:space="preserve">The facility shall comply with the requirements found in Iowa Code section </w:t>
      </w:r>
      <w:hyperlink r:id="rId14">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and rule </w:t>
      </w:r>
      <w:hyperlink r:id="rId15">
        <w:r>
          <w:rPr>
            <w:rStyle w:val="Hyperlink"/>
            <w:rFonts w:ascii="Times New Roman" w:hAnsi="Times New Roman"/>
            <w:b w:val="false"/>
            <w:i w:val="false"/>
            <w:color w:val="000000"/>
            <w:sz w:val="22"/>
          </w:rPr>
          <w:t>481—50.9</w:t>
        </w:r>
      </w:hyperlink>
      <w:r>
        <w:rPr>
          <w:rFonts w:ascii="Times New Roman" w:hAnsi="Times New Roman"/>
          <w:b w:val="false"/>
          <w:i w:val="false"/>
          <w:color w:val="000000"/>
          <w:sz w:val="22"/>
        </w:rPr>
        <w:t>(135C) related to completion of criminal record checks, child abuse checks, and dependent adult abuse checks and to employment of individuals who have committed a crime or have a founded abuse.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63.8(4)</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 </w:t>
      </w:r>
      <w:r>
        <w:rPr>
          <w:rFonts w:ascii="Times New Roman" w:hAnsi="Times New Roman"/>
          <w:b w:val="false"/>
          <w:i w:val="false"/>
          <w:color w:val="000000"/>
          <w:sz w:val="22"/>
        </w:rPr>
        <w:t>A personnel record shall be kept for each employee and shall include but not be limited to the following information about the employee: name and address; social security number; date of birth; date of employment; position; job description; experience and education; results of criminal record checks, child abuse checks and dependent adult abuse checks; and date of discharge or resignation.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63.8(5)</w:t>
      </w:r>
      <w:r>
        <w:rPr>
          <w:rFonts w:ascii="Times New Roman" w:hAnsi="Times New Roman"/>
          <w:b w:val="false"/>
          <w:i w:val="false"/>
          <w:color w:val="000000"/>
          <w:sz w:val="22"/>
        </w:rPr>
        <w:t> </w:t>
      </w:r>
      <w:r>
        <w:rPr>
          <w:rFonts w:ascii="Times New Roman" w:hAnsi="Times New Roman"/>
          <w:b w:val="false"/>
          <w:i/>
          <w:color w:val="000000"/>
          <w:sz w:val="22"/>
        </w:rPr>
        <w:t xml:space="preserve">Supervision and staffing.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sufficient staff to meet the needs of the residents served.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Personnel in a specialized residential care facility shall provide 24-hour coverage for residential care services. Personnel shall be available and responsive to residents’ needs at all times while on duty.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care staff shall be present in the facility unless all residents are involved in activities away from the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Staff shall be aware of and provide supervision levels based on the present needs of the residents in the staff’s care. The facility shall document the supervision of residents who require more than general supervision, as defined by facility policy.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an accurate record of actual hours worked by employees.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63.8(6)</w:t>
      </w:r>
      <w:r>
        <w:rPr>
          <w:rFonts w:ascii="Times New Roman" w:hAnsi="Times New Roman"/>
          <w:b w:val="false"/>
          <w:i w:val="false"/>
          <w:color w:val="000000"/>
          <w:sz w:val="22"/>
        </w:rPr>
        <w:t> </w:t>
      </w:r>
      <w:r>
        <w:rPr>
          <w:rFonts w:ascii="Times New Roman" w:hAnsi="Times New Roman"/>
          <w:b w:val="false"/>
          <w:i/>
          <w:color w:val="000000"/>
          <w:sz w:val="22"/>
        </w:rPr>
        <w:t xml:space="preserve">Physical examination and screening. </w:t>
      </w:r>
      <w:r>
        <w:rPr>
          <w:rFonts w:ascii="Times New Roman" w:hAnsi="Times New Roman"/>
          <w:b w:val="false"/>
          <w:i w:val="false"/>
          <w:color w:val="000000"/>
          <w:sz w:val="22"/>
        </w:rPr>
        <w:t xml:space="preserve">Employees shall have a physical examination within 12 months prior to beginning employment and every four years thereafter. Screening and testing for tuberculosis shall be conducted pursuant to </w:t>
      </w:r>
      <w:hyperlink r:id="rId16">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4577C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481—63.9</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policies. </w:t>
      </w:r>
      <w:r>
        <w:rPr>
          <w:rFonts w:ascii="Times New Roman" w:hAnsi="Times New Roman"/>
          <w:b w:val="false"/>
          <w:i w:val="false"/>
          <w:color w:val="000000"/>
          <w:sz w:val="22"/>
        </w:rPr>
        <w:t xml:space="preserve">The licensee shall establish and implement written policies and procedures as set forth in this rule. The policies and procedures shall be available for review by the department, other agencies designated by Iowa Code section </w:t>
      </w:r>
      <w:hyperlink r:id="rId17">
        <w:r>
          <w:rPr>
            <w:rStyle w:val="Hyperlink"/>
            <w:rFonts w:ascii="Times New Roman" w:hAnsi="Times New Roman"/>
            <w:b w:val="false"/>
            <w:i w:val="false"/>
            <w:color w:val="000000"/>
            <w:sz w:val="22"/>
          </w:rPr>
          <w:t>135C.16(3)</w:t>
        </w:r>
      </w:hyperlink>
      <w:r>
        <w:rPr>
          <w:rFonts w:ascii="Times New Roman" w:hAnsi="Times New Roman"/>
          <w:b w:val="false"/>
          <w:i w:val="false"/>
          <w:color w:val="000000"/>
          <w:sz w:val="22"/>
        </w:rPr>
        <w:t>, staff, residents, residents’ families or legal representatives, and the public and shall be reviewed by the licensee annually.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63.9(1)</w:t>
      </w:r>
      <w:r>
        <w:rPr>
          <w:rFonts w:ascii="Times New Roman" w:hAnsi="Times New Roman"/>
          <w:b w:val="false"/>
          <w:i w:val="false"/>
          <w:color w:val="000000"/>
          <w:sz w:val="22"/>
        </w:rPr>
        <w:t> </w:t>
      </w:r>
      <w:r>
        <w:rPr>
          <w:rFonts w:ascii="Times New Roman" w:hAnsi="Times New Roman"/>
          <w:b w:val="false"/>
          <w:i/>
          <w:color w:val="000000"/>
          <w:sz w:val="22"/>
        </w:rPr>
        <w:t xml:space="preserve">Facility operation. </w:t>
      </w:r>
      <w:r>
        <w:rPr>
          <w:rFonts w:ascii="Times New Roman" w:hAnsi="Times New Roman"/>
          <w:b w:val="false"/>
          <w:i w:val="false"/>
          <w:color w:val="000000"/>
          <w:sz w:val="22"/>
        </w:rPr>
        <w:t>The licensee shall establish written policies for the operation of the facility, including but not limited to the following: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Personnel;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Admission;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Evaluation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Programming and individual program plans;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Registered sex offender management;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Crisis intervention;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Discharge or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Medication management, including self-administration of medications and chemical restraints;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Resident property;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Resident finances;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Records;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Health and safety;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Nutrition;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Physical facilities and maintenance;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Resident rights;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Investigation and reporting of alleged dependent adult abuse;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Investigation and reporting of accidents or incidents;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Transportation of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Resident supervision;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Smoking;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Visitors;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Disaster/emergency planning;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Infection control.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63.9(2)</w:t>
      </w:r>
      <w:r>
        <w:rPr>
          <w:rFonts w:ascii="Times New Roman" w:hAnsi="Times New Roman"/>
          <w:b w:val="false"/>
          <w:i w:val="false"/>
          <w:color w:val="000000"/>
          <w:sz w:val="22"/>
        </w:rPr>
        <w:t> </w:t>
      </w:r>
      <w:r>
        <w:rPr>
          <w:rFonts w:ascii="Times New Roman" w:hAnsi="Times New Roman"/>
          <w:b w:val="false"/>
          <w:i/>
          <w:color w:val="000000"/>
          <w:sz w:val="22"/>
        </w:rPr>
        <w:t xml:space="preserve">Personnel policies. </w:t>
      </w:r>
      <w:r>
        <w:rPr>
          <w:rFonts w:ascii="Times New Roman" w:hAnsi="Times New Roman"/>
          <w:b w:val="false"/>
          <w:i w:val="false"/>
          <w:color w:val="000000"/>
          <w:sz w:val="22"/>
        </w:rPr>
        <w:t>Written personnel policies shall include the hours of work and attendance at educational programs.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63.9(3)</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The facility shall have a written and implemented infection control program, which shall include policies and procedures based on guidelines issued by the Centers for Disease Control and Prevention, U.S. Department of Health and Human Services. The infection control program shall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Techniques for hand washing;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Techniques for the handling of blood, body fluids, and body wastes;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Dressings, soaks or packs;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Infection identification;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Resident care procedures to be used when there is an infection present;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Sanitation techniques for resident care equipment;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Techniques for sanitary use and reuse of feeding syringes and single-resident use and reuse of urine collection bags; (I,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Techniques for use and disposal of needles, syringes, and other sharp instruments.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63.9(4)</w:t>
      </w:r>
      <w:r>
        <w:rPr>
          <w:rFonts w:ascii="Times New Roman" w:hAnsi="Times New Roman"/>
          <w:b w:val="false"/>
          <w:i w:val="false"/>
          <w:color w:val="000000"/>
          <w:sz w:val="22"/>
        </w:rPr>
        <w:t> </w:t>
      </w:r>
      <w:r>
        <w:rPr>
          <w:rFonts w:ascii="Times New Roman" w:hAnsi="Times New Roman"/>
          <w:b w:val="false"/>
          <w:i/>
          <w:color w:val="000000"/>
          <w:sz w:val="22"/>
        </w:rPr>
        <w:t xml:space="preserve">Resident care techniques. </w:t>
      </w:r>
      <w:r>
        <w:rPr>
          <w:rFonts w:ascii="Times New Roman" w:hAnsi="Times New Roman"/>
          <w:b w:val="false"/>
          <w:i w:val="false"/>
          <w:color w:val="000000"/>
          <w:sz w:val="22"/>
        </w:rPr>
        <w:t>The facility shall have written and implemented procedures to be followed if a resident needs any of the following treatment or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Intravenous or central line catheter;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Urinary catheter;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Respiratory suction, oxygen or humidification;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Decubitus care;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Tracheostomy;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Nasogastric or gastrostomy tubes;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Sanitary use and reuse of feeding syringes and single-resident use and reuse of urine collection bags.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63.9(5)</w:t>
      </w:r>
      <w:r>
        <w:rPr>
          <w:rFonts w:ascii="Times New Roman" w:hAnsi="Times New Roman"/>
          <w:b w:val="false"/>
          <w:i w:val="false"/>
          <w:color w:val="000000"/>
          <w:sz w:val="22"/>
        </w:rPr>
        <w:t> </w:t>
      </w:r>
      <w:r>
        <w:rPr>
          <w:rFonts w:ascii="Times New Roman" w:hAnsi="Times New Roman"/>
          <w:b w:val="false"/>
          <w:i/>
          <w:color w:val="000000"/>
          <w:sz w:val="22"/>
        </w:rPr>
        <w:t xml:space="preserve">Emergency care. </w:t>
      </w:r>
      <w:r>
        <w:rPr>
          <w:rFonts w:ascii="Times New Roman" w:hAnsi="Times New Roman"/>
          <w:b w:val="false"/>
          <w:i w:val="false"/>
          <w:color w:val="000000"/>
          <w:sz w:val="22"/>
        </w:rPr>
        <w:t>The facility shall establish written policies for the provision of emergency medical care to residents and employees in case of sudden illness or accident. The policies shall include a list of those individuals to be contacted in case of an emergency.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481—63.10</w:t>
      </w:r>
      <w:r>
        <w:rPr>
          <w:rFonts w:ascii="Times New Roman" w:hAnsi="Times New Roman"/>
          <w:b/>
          <w:i w:val="false"/>
          <w:color w:val="000000"/>
          <w:sz w:val="22"/>
        </w:rPr>
        <w:t xml:space="preserve">(135C) </w:t>
      </w:r>
      <w:r>
        <w:rPr>
          <w:rFonts w:ascii="Times New Roman" w:hAnsi="Times New Roman"/>
          <w:b/>
          <w:i w:val="false"/>
          <w:color w:val="000000"/>
          <w:sz w:val="22"/>
        </w:rPr>
        <w:t xml:space="preserve">Admission, transfer and discharge.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63.10(1)</w:t>
      </w:r>
      <w:r>
        <w:rPr>
          <w:rFonts w:ascii="Times New Roman" w:hAnsi="Times New Roman"/>
          <w:b w:val="false"/>
          <w:i w:val="false"/>
          <w:color w:val="000000"/>
          <w:sz w:val="22"/>
        </w:rPr>
        <w:t> </w:t>
      </w:r>
      <w:r>
        <w:rPr>
          <w:rFonts w:ascii="Times New Roman" w:hAnsi="Times New Roman"/>
          <w:b w:val="false"/>
          <w:i/>
          <w:color w:val="000000"/>
          <w:sz w:val="22"/>
        </w:rPr>
        <w:t xml:space="preserve">General admission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be admitted to a specialized residential care facility only on a written order signed by a primary care provider or psychiatrist, specifying the level of care, and certifying that the individual being admitted requires no more than personal care and supervision and does not require routine nursing care.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residential care facility shall admit or retain a resident who is in need of greater services than the facility can provide.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residential care facility shall admit more residents than the number of beds for which the facility is licensed.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residential care facility is not required to admit an individual through court order, referral or other means without the express prior approval of the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admission of a resident shall not grant the residential care facility the authority or responsibility to manage the personal affairs of the resident except as may be necessary for the safety of the resident and the safe and orderly management of the residential care facility as required by these rules.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Individuals under the age of 18 shall not be admitted to a residential care facility without prior written approval by the department. A distinct part of a residential care facility, segregated from the adult section, may be established based on a résumé of care that is submitted by the licensee or applicant and is commensurate with the needs of the residents of the residential care facility and that has received the department’s review and approval.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health care facility and no owner, administrator, employee or representative thereof shall act as guardian, trustee, or conservator for any resident’s property unless such resident is related within the third degree of consanguinity to the person acting as guardian.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63.10(2)</w:t>
      </w:r>
      <w:r>
        <w:rPr>
          <w:rFonts w:ascii="Times New Roman" w:hAnsi="Times New Roman"/>
          <w:b w:val="false"/>
          <w:i w:val="false"/>
          <w:color w:val="000000"/>
          <w:sz w:val="22"/>
        </w:rPr>
        <w:t> </w:t>
      </w:r>
      <w:r>
        <w:rPr>
          <w:rFonts w:ascii="Times New Roman" w:hAnsi="Times New Roman"/>
          <w:b w:val="false"/>
          <w:i/>
          <w:color w:val="000000"/>
          <w:sz w:val="22"/>
        </w:rPr>
        <w:t xml:space="preserve">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shall be made to the legal representative, primary care provider, psychiatrist, if any, and sponsoring agency, if any, prior to the transfer or discharge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not refuse to discharge or transfer a resident when the primary care provider, family, resident, or legal representative requests such transfer or discharge.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Advance notification will be made to the receiving facility prior to the transfer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resident is transferred or discharged, the appropriate record will accompany the resident to ensure continuity of care. “Appropriate record” includes the resident’s face sheet, service plan, most recent orders of the primary care provider and any notifications of upcoming scheduled appointments.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resident is transferred or discharged, the resident’s unused prescriptions shall be sent with the resident or with a legal representative only upon the written order of a primary care provider.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481—63.11</w:t>
      </w:r>
      <w:r>
        <w:rPr>
          <w:rFonts w:ascii="Times New Roman" w:hAnsi="Times New Roman"/>
          <w:b/>
          <w:i w:val="false"/>
          <w:color w:val="000000"/>
          <w:sz w:val="22"/>
        </w:rPr>
        <w:t xml:space="preserve">(135C) </w:t>
      </w:r>
      <w:r>
        <w:rPr>
          <w:rFonts w:ascii="Times New Roman" w:hAnsi="Times New Roman"/>
          <w:b/>
          <w:i w:val="false"/>
          <w:color w:val="000000"/>
          <w:sz w:val="22"/>
        </w:rPr>
        <w:t xml:space="preserve">Involuntary 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63.11(1)</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permitted. </w:t>
      </w:r>
      <w:r>
        <w:rPr>
          <w:rFonts w:ascii="Times New Roman" w:hAnsi="Times New Roman"/>
          <w:b w:val="false"/>
          <w:i w:val="false"/>
          <w:color w:val="000000"/>
          <w:sz w:val="22"/>
        </w:rPr>
        <w:t>A facility may involuntarily discharge or transfer a resident for only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welfare or that of other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Repeated refusal by the resident to participate in the resident’s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Due to action pursuant to Iowa Code chapter </w:t>
      </w:r>
      <w:hyperlink r:id="rId18">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Nonpayment for the resident’s stay, as described in the residency agreement for the resident’s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63.11(2)</w:t>
      </w:r>
      <w:r>
        <w:rPr>
          <w:rFonts w:ascii="Times New Roman" w:hAnsi="Times New Roman"/>
          <w:b w:val="false"/>
          <w:i w:val="false"/>
          <w:color w:val="000000"/>
          <w:sz w:val="22"/>
        </w:rPr>
        <w:t> </w:t>
      </w:r>
      <w:r>
        <w:rPr>
          <w:rFonts w:ascii="Times New Roman" w:hAnsi="Times New Roman"/>
          <w:b w:val="false"/>
          <w:i/>
          <w:color w:val="000000"/>
          <w:sz w:val="22"/>
        </w:rPr>
        <w:t xml:space="preserve">Medical reasons. </w:t>
      </w:r>
      <w:r>
        <w:rPr>
          <w:rFonts w:ascii="Times New Roman" w:hAnsi="Times New Roman"/>
          <w:b w:val="false"/>
          <w:i w:val="false"/>
          <w:color w:val="000000"/>
          <w:sz w:val="22"/>
        </w:rPr>
        <w:t>Medical reasons for transfer or discharge shall be based on the resident’s needs and shall be determined and documented in the resident’s record by the primary care provider. Transfer or discharge may be required in order to provide a different level of care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63.11(3)</w:t>
      </w:r>
      <w:r>
        <w:rPr>
          <w:rFonts w:ascii="Times New Roman" w:hAnsi="Times New Roman"/>
          <w:b w:val="false"/>
          <w:i w:val="false"/>
          <w:color w:val="000000"/>
          <w:sz w:val="22"/>
        </w:rPr>
        <w:t> </w:t>
      </w:r>
      <w:r>
        <w:rPr>
          <w:rFonts w:ascii="Times New Roman" w:hAnsi="Times New Roman"/>
          <w:b w:val="false"/>
          <w:i/>
          <w:color w:val="000000"/>
          <w:sz w:val="22"/>
        </w:rPr>
        <w:t xml:space="preserve">Welfare of a resident. </w:t>
      </w:r>
      <w:r>
        <w:rPr>
          <w:rFonts w:ascii="Times New Roman" w:hAnsi="Times New Roman"/>
          <w:b w:val="false"/>
          <w:i w:val="false"/>
          <w:color w:val="000000"/>
          <w:sz w:val="22"/>
        </w:rPr>
        <w:t>Welfare of a resident or that of other residents refers to a resident’s social, emotional, or physical well-being. A resident may be transferred or discharged because the resident’s behavior poses a continuing threat to the resident (e.g., suicidal) or to the well-being of other residents or staff (e.g., the resident’s behavior is incompatible with other residents’ needs and rights). Written documentation that the resident’s continued presence in the facility would adversely affect the resident’s own welfare or that of other residents shall be made by the administrator or designee and shall include specific information to support this determination.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63.11(4)</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Involuntary transfer or discharge of a resident from a facility shall be preceded by a written notice to the resident and the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shall contain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as follows: (II)</w:t>
      </w:r>
    </w:p>
    <w:tbl>
      <w:tblPr>
        <w:tblW w:w="5000" w:type="pct"/>
        <w:tblCellSpacing w:w="0" w:type="auto"/>
        <w:tblBorders>
          <w:top w:val="none"/>
          <w:left w:val="none"/>
          <w:bottom w:val="none"/>
          <w:right w:val="none"/>
          <w:insideH w:val="none"/>
          <w:insideV w:val="none"/>
        </w:tblBorders>
        <w:tblLayout w:type="fixed"/>
      </w:tblPr>
      <w:tblGrid>
        <w:gridCol w:w="11189"/>
      </w:tblGrid>
      <w:tr>
        <w:trPr>
          <w:trHeight w:val="3330" w:hRule="atLeast"/>
        </w:trPr>
        <w:tc>
          <w:tcPr>
            <w:tcW w:w="11189" w:type="dxa"/>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21"/>
              </w:rPr>
              <w:t>You have a right to appeal the facility’s decision to transfer or discharge you.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receipt of your request by the department and you will not be transferred prior to a final decision. In emergency circumstances, extension of the 14-day requirement may be permitted upon request to the department’s designee. If you lose the hearing, you will not be transferred before the expiration of (1) 30 days following receipt of the original notice of the discharge or transfer, or (2) 5 days following final decision of such hearing, including exhaustion of all appeals, whichever occurs later. To request a hearing or receive further information, call the department at (515)281-4115, or write to the department to the attention of: Administrator, Division of Health Facilities, Department of Inspections and Appeals, Lucas State Office Building, Des Moines, Iowa 50319-0083.</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placed in the resident’s record. A copy shall also be transmitted to the department; the resident’s responsible party; the resident’s primary care provider; and the person or agency responsible for the resident’s placement, maintenance, and care in the facility. The notice shall indicate that a copy has been transmitted to the required parties by using the abbreviation “cc:” and listing the names of all parties to whom copies were sent.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w:t>
      </w:r>
      <w:hyperlink r:id="rId19">
        <w:r>
          <w:rPr>
            <w:rStyle w:val="Hyperlink"/>
            <w:rFonts w:ascii="Times New Roman" w:hAnsi="Times New Roman"/>
            <w:b w:val="false"/>
            <w:i w:val="false"/>
            <w:color w:val="000000"/>
            <w:sz w:val="22"/>
          </w:rPr>
          <w:t>paragraph 63.11(4)</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provided at least 30 days in advance of the proposed transfer or discharge unless one of the following occurs: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transfer or discharge is mandated by the resident’s health care needs and is in accordance with the written orders and medical justification of the primary care provider. Emergency transfers or discharges may also be mandated in order to protect the health, safety, or well-being of other residents and staff from the resident being transferred.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transfer or discharge is subsequently agreed to by the resident or the resident’s responsible party, and notification is given to the responsible party, the resident’s primary care provider, and the person or agency responsible for the resident’s placement, maintenance, and care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w:t>
      </w:r>
      <w:hyperlink r:id="rId20">
        <w:r>
          <w:rPr>
            <w:rStyle w:val="Hyperlink"/>
            <w:rFonts w:ascii="Times New Roman" w:hAnsi="Times New Roman"/>
            <w:b w:val="false"/>
            <w:i w:val="false"/>
            <w:color w:val="000000"/>
            <w:sz w:val="22"/>
          </w:rPr>
          <w:t>subrule 63.11(6)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63.11(5)</w:t>
      </w:r>
      <w:r>
        <w:rPr>
          <w:rFonts w:ascii="Times New Roman" w:hAnsi="Times New Roman"/>
          <w:b w:val="false"/>
          <w:i w:val="false"/>
          <w:color w:val="000000"/>
          <w:sz w:val="22"/>
        </w:rPr>
        <w:t> </w:t>
      </w:r>
      <w:r>
        <w:rPr>
          <w:rFonts w:ascii="Times New Roman" w:hAnsi="Times New Roman"/>
          <w:b w:val="false"/>
          <w:i/>
          <w:color w:val="000000"/>
          <w:sz w:val="22"/>
        </w:rPr>
        <w:t xml:space="preserve">Emergency transfer or discharge. </w:t>
      </w:r>
      <w:r>
        <w:rPr>
          <w:rFonts w:ascii="Times New Roman" w:hAnsi="Times New Roman"/>
          <w:b w:val="false"/>
          <w:i w:val="false"/>
          <w:color w:val="000000"/>
          <w:sz w:val="22"/>
        </w:rPr>
        <w:t>In the case of an emergency transfer or discharge, the resident must be given a written notice prior to or within 48 hours following transfer or discharge.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this notice must be placed in the resident’s file. The notice must contain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(II)</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610" w:hRule="atLeast"/>
        </w:trPr>
        <w:tc>
          <w:tcPr>
            <w:tcW w:w="11190" w:type="dxa"/>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21"/>
              </w:rPr>
              <w:t>You have a right to appeal the facility’s decision to transfer or discharge you on an emergency basis. If you think you should not have to leave this facility, you may request a hearing, in writing or verbally, with the Iowa department of inspections and appeals (hereinafter referred to as “department”) within 7 days after receiving this notice. You have the right to be represented at the hearing by an attorney or any other individual of your choice. If you request a hearing, it will be held no later than 14 days after receipt of your request by the department. You may be transferred or discharged before the hearing is held or before a final decision is rendered. If you win the hearing, you have the right to be transferred back into the facility. To request a hearing or receive further information, call the department at (515)281-4115, or write to the department to the attention of: Administrator, Division of Health Facilities, Department of Inspections and Appeals, Lucas State Office Building, Des Moines, Iowa 50319-0083.</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placed in the resident’s record. A copy shall also be transmitted to the department; the resident’s responsible party; the resident’s primary care provider; and the person or agency responsible for the resident’s placement, maintenance, and care in the facility. The notice shall indicate that a copy has been transmitted to the required parties by using the abbreviation “cc:” and listing the names of all parties to whom copies were sent.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w:t>
      </w:r>
      <w:hyperlink r:id="rId21">
        <w:r>
          <w:rPr>
            <w:rStyle w:val="Hyperlink"/>
            <w:rFonts w:ascii="Times New Roman" w:hAnsi="Times New Roman"/>
            <w:b w:val="false"/>
            <w:i w:val="false"/>
            <w:color w:val="000000"/>
            <w:sz w:val="22"/>
          </w:rPr>
          <w:t>subrule 63.11(6)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63.11(6)</w:t>
      </w:r>
      <w:r>
        <w:rPr>
          <w:rFonts w:ascii="Times New Roman" w:hAnsi="Times New Roman"/>
          <w:b w:val="false"/>
          <w:i w:val="false"/>
          <w:color w:val="000000"/>
          <w:sz w:val="22"/>
        </w:rPr>
        <w:t> </w:t>
      </w:r>
      <w:r>
        <w:rPr>
          <w:rFonts w:ascii="Times New Roman" w:hAnsi="Times New Roman"/>
          <w:b w:val="false"/>
          <w:i/>
          <w:color w:val="000000"/>
          <w:sz w:val="22"/>
        </w:rPr>
        <w:t xml:space="preserv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must request a hearing within 7 days of receiving the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to the department, either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no later than 14 days after receipt of the request by the department unless the resident requests an extension due to emergency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in the case of an emergency discharge or transfer, a request for a hearing shall stay a transfer or discharge pending a final decision, including the exhaustion of all appeals.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heard by a department of inspections and appeals administrative law judge pursuant to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The hearing shall be public unless the resident or the resident’s legal representative requests in writing that the hearing be closed. In a determination as to whether a transfer or discharge is authorized, the burden of proof by a preponderance of evidence rests on the party requesting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date, time, and place of the hearing shall be sent by certified mail or delivered in person to the facility, the resident, the responsible party, and the office of the long-term care ombudsman not later than 5 full business days after receipt of the request. The notice shall also inform the facility and the resident or the responsible party that they have a right to appear at the hearing in person or be represented by an attorney or other individual. The appeal shall be dismissed if neither party is present or represented at the hearing. If only one party appears or is represented, the hearing shall proceed with one party present. A representative of the office of the long-term care ombudsman shall have the right to appear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judge’s written decision shall be mailed by certified mail to the licensee, resident, responsible party, and the office of the long-term care ombudsman within 10 working days after the hearing has been concluded.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63.11(7)</w:t>
      </w:r>
      <w:r>
        <w:rPr>
          <w:rFonts w:ascii="Times New Roman" w:hAnsi="Times New Roman"/>
          <w:b w:val="false"/>
          <w:i w:val="false"/>
          <w:color w:val="000000"/>
          <w:sz w:val="22"/>
        </w:rPr>
        <w:t> </w:t>
      </w:r>
      <w:r>
        <w:rPr>
          <w:rFonts w:ascii="Times New Roman" w:hAnsi="Times New Roman"/>
          <w:b w:val="false"/>
          <w:i/>
          <w:color w:val="000000"/>
          <w:sz w:val="22"/>
        </w:rPr>
        <w:t xml:space="preserve">Nonpayment. </w:t>
      </w:r>
      <w:r>
        <w:rPr>
          <w:rFonts w:ascii="Times New Roman" w:hAnsi="Times New Roman"/>
          <w:b w:val="false"/>
          <w:i w:val="false"/>
          <w:color w:val="000000"/>
          <w:sz w:val="22"/>
        </w:rPr>
        <w:t>If nonpayment is the basis for involuntary transfer or discharge, the resident shall have the right to make full payment up to the date that the discharge or transfer is to be made and then shall have the right to remain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63.11(8)</w:t>
      </w:r>
      <w:r>
        <w:rPr>
          <w:rFonts w:ascii="Times New Roman" w:hAnsi="Times New Roman"/>
          <w:b w:val="false"/>
          <w:i w:val="false"/>
          <w:color w:val="000000"/>
          <w:sz w:val="22"/>
        </w:rPr>
        <w:t> </w:t>
      </w:r>
      <w:r>
        <w:rPr>
          <w:rFonts w:ascii="Times New Roman" w:hAnsi="Times New Roman"/>
          <w:b w:val="false"/>
          <w:i/>
          <w:color w:val="000000"/>
          <w:sz w:val="22"/>
        </w:rPr>
        <w:t xml:space="preserve">Discussion of involuntary transfer or discharge. </w:t>
      </w:r>
      <w:r>
        <w:rPr>
          <w:rFonts w:ascii="Times New Roman" w:hAnsi="Times New Roman"/>
          <w:b w:val="false"/>
          <w:i w:val="false"/>
          <w:color w:val="000000"/>
          <w:sz w:val="22"/>
        </w:rPr>
        <w:t>Within 48 hours after notice of involuntary transfer or discharge has been received by the resident, the facility shall discuss the involuntary transfer or discharge with the resident, the resident’s responsible party, and the person or agency responsible for the resident’s placement, maintenance, and care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or other appropriate facility representative serving as the administrator’s designee shall provide an explanation and discussion of the reasons for the resident’s involuntary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content of the explanation and discussion shall be summarized in writing, shall include the names of the individuals involved in the discussion, and shall be made part of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subrule do not apply if the involuntary transfer or discharge has already occurred pursuant to </w:t>
      </w:r>
      <w:hyperlink r:id="rId24">
        <w:r>
          <w:rPr>
            <w:rStyle w:val="Hyperlink"/>
            <w:rFonts w:ascii="Times New Roman" w:hAnsi="Times New Roman"/>
            <w:b w:val="false"/>
            <w:i w:val="false"/>
            <w:color w:val="000000"/>
            <w:sz w:val="22"/>
          </w:rPr>
          <w:t>subrule 63.11(5)</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63.11(9)</w:t>
      </w:r>
      <w:r>
        <w:rPr>
          <w:rFonts w:ascii="Times New Roman" w:hAnsi="Times New Roman"/>
          <w:b w:val="false"/>
          <w:i w:val="false"/>
          <w:color w:val="000000"/>
          <w:sz w:val="22"/>
        </w:rPr>
        <w:t> </w:t>
      </w:r>
      <w:r>
        <w:rPr>
          <w:rFonts w:ascii="Times New Roman" w:hAnsi="Times New Roman"/>
          <w:b w:val="false"/>
          <w:i/>
          <w:color w:val="000000"/>
          <w:sz w:val="22"/>
        </w:rPr>
        <w:t xml:space="preserve">Transfer or discharge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 plan to provide for the orderly and safe transfer or discharge of each resident to be transferred or discharged.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minimize the possible adverse effects of the involuntary transfer, the resident shall be offered counseling services by the sending facility before the involuntary transfer and by the receiving facility after the involuntary transfer. Counseling, if accepted, shall be provided by a licensed mental health professional as defined in Iowa Code section </w:t>
      </w:r>
      <w:hyperlink r:id="rId25">
        <w:r>
          <w:rPr>
            <w:rStyle w:val="Hyperlink"/>
            <w:rFonts w:ascii="Times New Roman" w:hAnsi="Times New Roman"/>
            <w:b w:val="false"/>
            <w:i w:val="false"/>
            <w:color w:val="000000"/>
            <w:sz w:val="22"/>
          </w:rPr>
          <w:t>228.1(6)</w:t>
        </w:r>
      </w:hyperlink>
      <w:r>
        <w:rPr>
          <w:rFonts w:ascii="Times New Roman" w:hAnsi="Times New Roman"/>
          <w:b w:val="false"/>
          <w:i w:val="false"/>
          <w:color w:val="000000"/>
          <w:sz w:val="22"/>
        </w:rPr>
        <w:t>. Counseling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counseling requirement in </w:t>
      </w:r>
      <w:hyperlink r:id="rId26">
        <w:r>
          <w:rPr>
            <w:rStyle w:val="Hyperlink"/>
            <w:rFonts w:ascii="Times New Roman" w:hAnsi="Times New Roman"/>
            <w:b w:val="false"/>
            <w:i w:val="false"/>
            <w:color w:val="000000"/>
            <w:sz w:val="22"/>
          </w:rPr>
          <w:t>paragraph 63.11(9)</w:t>
        </w:r>
        <w:r>
          <w:rPr>
            <w:rFonts w:ascii="Times New Roman" w:hAnsi="Times New Roman"/>
            <w:b w:val="false"/>
            <w:i/>
            <w:color w:val="000000"/>
            <w:sz w:val="22"/>
          </w:rPr>
          <w:t>“b”</w:t>
        </w:r>
      </w:hyperlink>
      <w:r>
        <w:rPr>
          <w:rFonts w:ascii="Times New Roman" w:hAnsi="Times New Roman"/>
          <w:b w:val="false"/>
          <w:i w:val="false"/>
          <w:color w:val="000000"/>
          <w:sz w:val="22"/>
        </w:rPr>
        <w:t xml:space="preserve"> does not apply if the discharge has already occurred pursuant to subrule </w:t>
      </w:r>
      <w:hyperlink r:id="rId27">
        <w:r>
          <w:rPr>
            <w:rStyle w:val="Hyperlink"/>
            <w:rFonts w:ascii="Times New Roman" w:hAnsi="Times New Roman"/>
            <w:b w:val="false"/>
            <w:i w:val="false"/>
            <w:color w:val="000000"/>
            <w:sz w:val="22"/>
          </w:rPr>
          <w:t>63.11(5)</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receiving health care facility of a resident involuntarily transferred shall immediately formulate and implement a plan of care which takes into account possible adverse effects the transfer may cause.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63.11(10)</w:t>
      </w:r>
      <w:r>
        <w:rPr>
          <w:rFonts w:ascii="Times New Roman" w:hAnsi="Times New Roman"/>
          <w:b w:val="false"/>
          <w:i w:val="false"/>
          <w:color w:val="000000"/>
          <w:sz w:val="22"/>
        </w:rPr>
        <w:t> </w:t>
      </w:r>
      <w:r>
        <w:rPr>
          <w:rFonts w:ascii="Times New Roman" w:hAnsi="Times New Roman"/>
          <w:b w:val="false"/>
          <w:i/>
          <w:color w:val="000000"/>
          <w:sz w:val="22"/>
        </w:rPr>
        <w:t xml:space="preserve">Transfer upon revocation of license or voluntary closure. </w:t>
      </w:r>
      <w:r>
        <w:rPr>
          <w:rFonts w:ascii="Times New Roman" w:hAnsi="Times New Roman"/>
          <w:b w:val="false"/>
          <w:i w:val="false"/>
          <w:color w:val="000000"/>
          <w:sz w:val="22"/>
        </w:rPr>
        <w:t>Residents shall not have the right to a hearing to contest an involuntary discharge or transfer resulting from the revocation of the facility’s license by the department of inspections and appeals. In the case of the voluntary closure of a facility, a period of 30 days must be allowed for an orderly transfer of residents to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63.11(11)</w:t>
      </w:r>
      <w:r>
        <w:rPr>
          <w:rFonts w:ascii="Times New Roman" w:hAnsi="Times New Roman"/>
          <w:b w:val="false"/>
          <w:i w:val="false"/>
          <w:color w:val="000000"/>
          <w:sz w:val="22"/>
        </w:rPr>
        <w:t> </w:t>
      </w:r>
      <w:r>
        <w:rPr>
          <w:rFonts w:ascii="Times New Roman" w:hAnsi="Times New Roman"/>
          <w:b w:val="false"/>
          <w:i/>
          <w:color w:val="000000"/>
          <w:sz w:val="22"/>
        </w:rPr>
        <w:t xml:space="preserve">Intrafacility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arbitrarily relocated from room to room within a licensed health care facility. (I, II) Involuntary relocation may occur only in the following situations, which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Incompatibility with or disturbing to other roommates.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welfare of the resident or other residents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allow a new admission to the facility that would otherwise not be possible due to separation of roommates by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case of a resident whose source of payment was previously private, but who now is eligible for Title XIX (Medicaid) assistance, the resident may be transferred from a private room to a semiprivate room or from one semiprivate room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Reasonable and necessary administrative decisions regarding the use and functioning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Unreasonable and unjustified reasons for changing a resident’s room without the concurrence of the resident or responsible party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from private pay status to Title XIX, except as outlined in </w:t>
      </w:r>
      <w:hyperlink r:id="rId28">
        <w:r>
          <w:rPr>
            <w:rStyle w:val="Hyperlink"/>
            <w:rFonts w:ascii="Times New Roman" w:hAnsi="Times New Roman"/>
            <w:b w:val="false"/>
            <w:i w:val="false"/>
            <w:color w:val="000000"/>
            <w:sz w:val="22"/>
          </w:rPr>
          <w:t>subparagraph 63.11(11)</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 punishment or behavior modification, except as specified in </w:t>
      </w:r>
      <w:hyperlink r:id="rId29">
        <w:r>
          <w:rPr>
            <w:rStyle w:val="Hyperlink"/>
            <w:rFonts w:ascii="Times New Roman" w:hAnsi="Times New Roman"/>
            <w:b w:val="false"/>
            <w:i w:val="false"/>
            <w:color w:val="000000"/>
            <w:sz w:val="22"/>
          </w:rPr>
          <w:t>subparagraph 63.11(11)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Discrimination on the basis of race or religion.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intrafacility relocation is necessary for reasons outlined in </w:t>
      </w:r>
      <w:hyperlink r:id="rId30">
        <w:r>
          <w:rPr>
            <w:rStyle w:val="Hyperlink"/>
            <w:rFonts w:ascii="Times New Roman" w:hAnsi="Times New Roman"/>
            <w:b w:val="false"/>
            <w:i w:val="false"/>
            <w:color w:val="000000"/>
            <w:sz w:val="22"/>
          </w:rPr>
          <w:t>paragraph 63.11(11)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resident shall be notified at least 48 hours prior to the transfer and the reason therefor shall be explained. The responsible party shall be notified as soon as possible. The notification shall be documented in the resident’s record and signed by the resident or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emergency relocation is required in order to protect the safety or health of the resident or other residents, the notification requirements may be waived. The conditions of the emergency shall be documented. The family or responsible party shall be notified immediately or as soon as possible of the condition that necessitates emergency relocation, and such notification shall be documented.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transfer to a part of a facility that has a different license must be handled the same way as a transfer to another facility, and not as an intrafacility transfer.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481—63.12</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Residency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63.12(1)</w:t>
      </w:r>
      <w:r>
        <w:rPr>
          <w:rFonts w:ascii="Times New Roman" w:hAnsi="Times New Roman"/>
          <w:b w:val="false"/>
          <w:i w:val="false"/>
          <w:color w:val="000000"/>
          <w:sz w:val="22"/>
        </w:rPr>
        <w:t> </w:t>
      </w:r>
      <w:r>
        <w:rPr>
          <w:rFonts w:ascii="Times New Roman" w:hAnsi="Times New Roman"/>
          <w:b w:val="false"/>
          <w:i w:val="false"/>
          <w:color w:val="000000"/>
          <w:sz w:val="22"/>
        </w:rPr>
        <w:t>Each residency agreement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 the base rate or scale per day or per month, the services included, and the method of payment.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 a complete schedule of all offered services for which a fee may be charged in addition to the base rate. (III) Furthermore, the agreement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Stipulate that no further additional fees shall be charged for items not contained in the complete schedule of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method of payment for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Contain an explanation of the method of assessment of such additional charges and an explanation of the method of periodic reassessment, if any, resulting in changing such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 that additional fees may be charged to the resident for nonprescription drugs, other personal supplies, and services provided by a barber, beautician, and such.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Contain an itemized list of services to be provided to the resident based on an assessment at the time of the resident’s admission and in consultation with the administrator and including the specific fee the resident will be charged for each service and the method of payment.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the total fee to be charged initially to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 the conditions whereby the facility may make adjustments to its overall fees for resident care as a result of changing costs. (II, III) Furthermore, the agreement shall provide that the facility shall give: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notification to the resident, or the responsible party when appropriate, of changes in the overall rates of both base and additional charges at least 30 days prior to the effective date of such changes;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Notification to the resident, or the responsible party when appropriate, of changes in additional charges, based on a change in the resident’s condition. Notification must occur prior to the date such revised additional charges begin. If notification is given orally, subsequent written notification must also be given within a reasonable time, not to exceed one week, listing specifically the adjustments made.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in regard to a refund of all advance payments in the event of the transfer, death, or voluntary or involuntary discharge of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concerning the holding of and charging for a bed when a resident is hospitalized or leaves the facility temporarily for recreational or therapeutic reasons. The terms shall contain a provision that the bed will be held at the request of the resident or the resident’s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ask the resident or responsible party whether the resident’s bed should be held. This request shall be made before the resident leaves or within 48 hours after the resident leaves. The inquiry and the response shall be documented.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inform the resident or responsible party that, when requested, the bed may be held beyond the number of days designated by the funding source, as long as payments are made in accordance with the agreement.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State the conditions under which the involuntary discharge or transfer of a resident would be effected.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Set forth any other matters deemed appropriate by the parties to the agreement. No agreement or any provision thereof shall be drawn or construed so as to relieve any health care facility of any requirement or obligation imposed upon it by this chapter or any standards or rules in force pursuant to this chapter.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63.12(2)</w:t>
      </w:r>
      <w:r>
        <w:rPr>
          <w:rFonts w:ascii="Times New Roman" w:hAnsi="Times New Roman"/>
          <w:b w:val="false"/>
          <w:i w:val="false"/>
          <w:color w:val="000000"/>
          <w:sz w:val="22"/>
        </w:rPr>
        <w:t> </w:t>
      </w:r>
      <w:r>
        <w:rPr>
          <w:rFonts w:ascii="Times New Roman" w:hAnsi="Times New Roman"/>
          <w:b w:val="false"/>
          <w:i w:val="false"/>
          <w:color w:val="000000"/>
          <w:sz w:val="22"/>
        </w:rPr>
        <w:t>Each party to the residency agreement shall be provided a copy of the signed agreement.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481—63.13</w:t>
      </w:r>
      <w:r>
        <w:rPr>
          <w:rFonts w:ascii="Times New Roman" w:hAnsi="Times New Roman"/>
          <w:b/>
          <w:i w:val="false"/>
          <w:color w:val="000000"/>
          <w:sz w:val="22"/>
        </w:rPr>
        <w:t xml:space="preserve">(135C) </w:t>
      </w:r>
      <w:r>
        <w:rPr>
          <w:rFonts w:ascii="Times New Roman" w:hAnsi="Times New Roman"/>
          <w:b/>
          <w:i w:val="false"/>
          <w:color w:val="000000"/>
          <w:sz w:val="22"/>
        </w:rPr>
        <w:t xml:space="preserve">Medical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63.13(1)</w:t>
      </w:r>
      <w:r>
        <w:rPr>
          <w:rFonts w:ascii="Times New Roman" w:hAnsi="Times New Roman"/>
          <w:b w:val="false"/>
          <w:i w:val="false"/>
          <w:color w:val="000000"/>
          <w:sz w:val="22"/>
        </w:rPr>
        <w:t> </w:t>
      </w:r>
      <w:r>
        <w:rPr>
          <w:rFonts w:ascii="Times New Roman" w:hAnsi="Times New Roman"/>
          <w:b w:val="false"/>
          <w:i w:val="false"/>
          <w:color w:val="000000"/>
          <w:sz w:val="22"/>
        </w:rPr>
        <w:t>Each resident in a residential care facility shall have a designated primary care provider who may be contacted when needed.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63.13(2)</w:t>
      </w:r>
      <w:r>
        <w:rPr>
          <w:rFonts w:ascii="Times New Roman" w:hAnsi="Times New Roman"/>
          <w:b w:val="false"/>
          <w:i w:val="false"/>
          <w:color w:val="000000"/>
          <w:sz w:val="22"/>
        </w:rPr>
        <w:t> </w:t>
      </w:r>
      <w:r>
        <w:rPr>
          <w:rFonts w:ascii="Times New Roman" w:hAnsi="Times New Roman"/>
          <w:b w:val="false"/>
          <w:i w:val="false"/>
          <w:color w:val="000000"/>
          <w:sz w:val="22"/>
        </w:rPr>
        <w:t>Each resident admitted to a residential care facility shall have a physical examination prior to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resident is admitted directly from a hospital, a copy of the hospital admission physical and discharge summary may be a part of the record in lieu of an additional physical examination. A record of the examination, signed by the primary care provider, shall be a part of the resident’s record.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 of the admission physical examination and medical history shall portray the current medical status of the resident and shall include the resident’s name, sex, age, medical history, physical examination, diagnosis, statement of medical concerns, and results of any diagnostic procedures.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and testing for tuberculosis shall be conducted pursuant to </w:t>
      </w:r>
      <w:hyperlink r:id="rId31">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63.13(3)</w:t>
      </w:r>
      <w:r>
        <w:rPr>
          <w:rFonts w:ascii="Times New Roman" w:hAnsi="Times New Roman"/>
          <w:b w:val="false"/>
          <w:i w:val="false"/>
          <w:color w:val="000000"/>
          <w:sz w:val="22"/>
        </w:rPr>
        <w:t> </w:t>
      </w:r>
      <w:r>
        <w:rPr>
          <w:rFonts w:ascii="Times New Roman" w:hAnsi="Times New Roman"/>
          <w:b w:val="false"/>
          <w:i w:val="false"/>
          <w:color w:val="000000"/>
          <w:sz w:val="22"/>
        </w:rPr>
        <w:t>The person in charge shall immediately notify the primary care provider of any accident, injury or adverse change in the resident’s condition that has the potential for requiring further medical treatment.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63.13(4)</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visited by or shall visit the resident’s primary care provider at least once each year. The one-year period shall be measured from the date of admission and does not include the resident’s preadmission physical.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481—63.14</w:t>
      </w:r>
      <w:r>
        <w:rPr>
          <w:rFonts w:ascii="Times New Roman" w:hAnsi="Times New Roman"/>
          <w:b/>
          <w:i w:val="false"/>
          <w:color w:val="000000"/>
          <w:sz w:val="22"/>
        </w:rPr>
        <w:t xml:space="preserve">(135C)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63.14(1)</w:t>
      </w:r>
      <w:r>
        <w:rPr>
          <w:rFonts w:ascii="Times New Roman" w:hAnsi="Times New Roman"/>
          <w:b w:val="false"/>
          <w:i w:val="false"/>
          <w:color w:val="000000"/>
          <w:sz w:val="22"/>
        </w:rPr>
        <w:t> </w:t>
      </w:r>
      <w:r>
        <w:rPr>
          <w:rFonts w:ascii="Times New Roman" w:hAnsi="Times New Roman"/>
          <w:b w:val="false"/>
          <w:i/>
          <w:color w:val="000000"/>
          <w:sz w:val="22"/>
        </w:rPr>
        <w:t xml:space="preserve">Resident record. </w:t>
      </w:r>
      <w:r>
        <w:rPr>
          <w:rFonts w:ascii="Times New Roman" w:hAnsi="Times New Roman"/>
          <w:b w:val="false"/>
          <w:i w:val="false"/>
          <w:color w:val="000000"/>
          <w:sz w:val="22"/>
        </w:rPr>
        <w:t>The licensee shall keep a permanent record on all residents admitted to a specialized residential care facility with all entries current, dated, and signed. (III) The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previous address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Birth date, sex, and marital status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Church affiliation;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Primary care provider’s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Dentist’s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next of kin or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person to be notified in case of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Mortuary’s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Pharmacist’s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Physical examination and medical history;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by the primary care provider that the resident requires no more than personal care and supervision, but does not require nursing care;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Primary care provider’s orders for medication, treatment, and diet in writing and signed by the primary care provider;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notation of yearly or other visits to primary care provider or other professional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Any change in the resident’s condition;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primary care provider has certified that the resident is capable of taking prescribed medications, the resident shall be required to keep the administrator advised of current medications, treatments, and diet. The administrator shall keep a listing of medication, treatments, and diet prescribed by the primary care provider for each resident;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If the primary care provider has certified that the resident is not capable of taking prescribed medication, it must be administered by a qualified person of the facility. A qualified person shall be defined as either a registered or licensed practical nurse or an individual who has completed the state-approved training course in medication administration, including a medication manager or certified medication aide;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Medications administered by an employee of the facility shall be recorded on a medication record by the individual who administers the 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 notation describing the resident’s condition on admission, transfer, and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 the event of a resident’s death, notations in the resident’s record shall include the date and time of the resident’s death, the circumstances of the resident’s death, the disposition of the resident’s body, and the date and time that the resident’s family and primary care provider were notified of the resident’s death;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 copy of instructions given to the resident, legal representative, or facility in the event of discharge or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Disposition of valuables;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Current individual program plans.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resident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ensured confidential treatment of all information contained in the resident’s records. The resident’s written consent shall be required for the release of information to persons not otherwise authorized under law to receive it.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limit access to any medical records to staff and consultants providing professional service to the resident. This is not meant to preclude access by representatives of state and federal regulatory agencies. (II)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Similar procedures shall safeguard the confidentiality of residents’ personal records, e.g., financial records and social services records. Only those personnel concerned with the financial affairs of the residents may have access to the financial records. This is not meant to preclude access by representatives of state and federal regulatory agencies.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resident or the resident’s responsible party shall be entitled to examine all information contained in the resident’s record and shall have the right to secure full copies of the record at reasonable cost upon request, unless the primary care provider determines the disclosure of the record or section thereof is contraindicated in which case this information will be deleted before the record is made available to the resident or responsible party. This determination and the reasons for it must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63.14(3)</w:t>
      </w:r>
      <w:r>
        <w:rPr>
          <w:rFonts w:ascii="Times New Roman" w:hAnsi="Times New Roman"/>
          <w:b w:val="false"/>
          <w:i w:val="false"/>
          <w:color w:val="000000"/>
          <w:sz w:val="22"/>
        </w:rPr>
        <w:t> </w:t>
      </w:r>
      <w:r>
        <w:rPr>
          <w:rFonts w:ascii="Times New Roman" w:hAnsi="Times New Roman"/>
          <w:b w:val="false"/>
          <w:i/>
          <w:color w:val="000000"/>
          <w:sz w:val="22"/>
        </w:rPr>
        <w:t xml:space="preserve">Incident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residential care facility shall maintain an incident record report and shall have available incident report forms.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of incidents shall be in detail on an incident report form.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in charge at the time of the incident shall oversee the preparation of and sign the incident report. The administrator or designee shall review, sign and date the incident report within 72 hours of the accident, incident or unusual occurrence.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incident report shall be completed for every accident or incident where there is apparent injury or where an injury of unknown origin may have occurred.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incident report shall be completed for every accident, incident or unusual occurrence within the facility or on the premises that affects a resident, visitor, or employee.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incident report shall be kept on file in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63.14(4)</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shall be retained in the facility for five years following the termination of services to a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shall be retained within the facility upon change of ownership.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facility ceases to operate, a copy of the resident’s record shall be released to the facility to which the resident is transferred.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facility ceases to operate, records shall be maintained for five years in a clean, dry secured storage area.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63.14(5)</w:t>
      </w:r>
      <w:r>
        <w:rPr>
          <w:rFonts w:ascii="Times New Roman" w:hAnsi="Times New Roman"/>
          <w:b w:val="false"/>
          <w:i w:val="false"/>
          <w:color w:val="000000"/>
          <w:sz w:val="22"/>
        </w:rPr>
        <w:t> </w:t>
      </w:r>
      <w:r>
        <w:rPr>
          <w:rFonts w:ascii="Times New Roman" w:hAnsi="Times New Roman"/>
          <w:b w:val="false"/>
          <w:i/>
          <w:color w:val="000000"/>
          <w:sz w:val="22"/>
        </w:rPr>
        <w:t xml:space="preserve">Electronic records. </w:t>
      </w:r>
      <w:r>
        <w:rPr>
          <w:rFonts w:ascii="Times New Roman" w:hAnsi="Times New Roman"/>
          <w:b w:val="false"/>
          <w:i w:val="false"/>
          <w:color w:val="000000"/>
          <w:sz w:val="22"/>
        </w:rPr>
        <w:t xml:space="preserve">In addition to the access provided in </w:t>
      </w:r>
      <w:hyperlink r:id="rId32">
        <w:r>
          <w:rPr>
            <w:rStyle w:val="Hyperlink"/>
            <w:rFonts w:ascii="Times New Roman" w:hAnsi="Times New Roman"/>
            <w:b w:val="false"/>
            <w:i w:val="false"/>
            <w:color w:val="000000"/>
            <w:sz w:val="22"/>
          </w:rPr>
          <w:t>481—subrule 50.10(2)</w:t>
        </w:r>
      </w:hyperlink>
      <w:r>
        <w:rPr>
          <w:rFonts w:ascii="Times New Roman" w:hAnsi="Times New Roman"/>
          <w:b w:val="false"/>
          <w:i w:val="false"/>
          <w:color w:val="000000"/>
          <w:sz w:val="22"/>
        </w:rPr>
        <w:t>, an authorized representative of the department shall be provided unrestricted access to electronic records pertaining to the care provided to the residents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access to an electronic record is requested by the authorized representative of the department, the facility may provide a tutorial on how to use its particular electronic system or may designate an individual who will, when requested, access the system, respond to any questions or assist the authorized representative as needed in accessing electronic information in a timely fashion.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 terminal where the authorized representative may access records.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facility is unable to provide direct print capability to the authorized representative, the facility shall make available a printout of any record or part of a record on request in a time frame that does not intentionally prevent or interfere with the department’s survey or investigation.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63.14(6)</w:t>
      </w:r>
      <w:r>
        <w:rPr>
          <w:rFonts w:ascii="Times New Roman" w:hAnsi="Times New Roman"/>
          <w:b w:val="false"/>
          <w:i w:val="false"/>
          <w:color w:val="000000"/>
          <w:sz w:val="22"/>
        </w:rPr>
        <w:t> </w:t>
      </w:r>
      <w:r>
        <w:rPr>
          <w:rFonts w:ascii="Times New Roman" w:hAnsi="Times New Roman"/>
          <w:b w:val="false"/>
          <w:i/>
          <w:color w:val="000000"/>
          <w:sz w:val="22"/>
        </w:rPr>
        <w:t xml:space="preserve">Reports to the department. </w:t>
      </w:r>
      <w:r>
        <w:rPr>
          <w:rFonts w:ascii="Times New Roman" w:hAnsi="Times New Roman"/>
          <w:b w:val="false"/>
          <w:i w:val="false"/>
          <w:color w:val="000000"/>
          <w:sz w:val="22"/>
        </w:rPr>
        <w:t>The licensee shall furnish statistical information concerning the operation of the facility to the department on request.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63.14(7)</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records for each employee shall be kept in accordance with </w:t>
      </w:r>
      <w:hyperlink r:id="rId33">
        <w:r>
          <w:rPr>
            <w:rStyle w:val="Hyperlink"/>
            <w:rFonts w:ascii="Times New Roman" w:hAnsi="Times New Roman"/>
            <w:b w:val="false"/>
            <w:i w:val="false"/>
            <w:color w:val="000000"/>
            <w:sz w:val="22"/>
          </w:rPr>
          <w:t>subrule 63.8(4)</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personnel records shall be made available for review upon request by the department.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481—63.15</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care and personal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63.15(1)</w:t>
      </w:r>
      <w:r>
        <w:rPr>
          <w:rFonts w:ascii="Times New Roman" w:hAnsi="Times New Roman"/>
          <w:b w:val="false"/>
          <w:i w:val="false"/>
          <w:color w:val="000000"/>
          <w:sz w:val="22"/>
        </w:rPr>
        <w:t> </w:t>
      </w:r>
      <w:r>
        <w:rPr>
          <w:rFonts w:ascii="Times New Roman" w:hAnsi="Times New Roman"/>
          <w:b w:val="false"/>
          <w:i w:val="false"/>
          <w:color w:val="000000"/>
          <w:sz w:val="22"/>
        </w:rPr>
        <w:t>A complete change of bed linens shall be provided at least once a week and more often if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63.15(2)</w:t>
      </w:r>
      <w:r>
        <w:rPr>
          <w:rFonts w:ascii="Times New Roman" w:hAnsi="Times New Roman"/>
          <w:b w:val="false"/>
          <w:i w:val="false"/>
          <w:color w:val="000000"/>
          <w:sz w:val="22"/>
        </w:rPr>
        <w:t> </w:t>
      </w:r>
      <w:r>
        <w:rPr>
          <w:rFonts w:ascii="Times New Roman" w:hAnsi="Times New Roman"/>
          <w:b w:val="false"/>
          <w:i w:val="false"/>
          <w:color w:val="000000"/>
          <w:sz w:val="22"/>
        </w:rPr>
        <w:t>Residents shall receive sufficient supervision to promote personal cleanliness.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63.15(3)</w:t>
      </w:r>
      <w:r>
        <w:rPr>
          <w:rFonts w:ascii="Times New Roman" w:hAnsi="Times New Roman"/>
          <w:b w:val="false"/>
          <w:i w:val="false"/>
          <w:color w:val="000000"/>
          <w:sz w:val="22"/>
        </w:rPr>
        <w:t> </w:t>
      </w:r>
      <w:r>
        <w:rPr>
          <w:rFonts w:ascii="Times New Roman" w:hAnsi="Times New Roman"/>
          <w:b w:val="false"/>
          <w:i w:val="false"/>
          <w:color w:val="000000"/>
          <w:sz w:val="22"/>
        </w:rPr>
        <w:t>Residents shall have clean clothing as needed. Clothing shall be appropriate to residents’ activities and to the weather.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63.15(4)</w:t>
      </w:r>
      <w:r>
        <w:rPr>
          <w:rFonts w:ascii="Times New Roman" w:hAnsi="Times New Roman"/>
          <w:b w:val="false"/>
          <w:i w:val="false"/>
          <w:color w:val="000000"/>
          <w:sz w:val="22"/>
        </w:rPr>
        <w:t> </w:t>
      </w:r>
      <w:r>
        <w:rPr>
          <w:rFonts w:ascii="Times New Roman" w:hAnsi="Times New Roman"/>
          <w:b w:val="false"/>
          <w:i w:val="false"/>
          <w:color w:val="000000"/>
          <w:sz w:val="22"/>
        </w:rPr>
        <w:t>Residents shall be encouraged to bathe at least twice a week.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63.15(5)</w:t>
      </w:r>
      <w:r>
        <w:rPr>
          <w:rFonts w:ascii="Times New Roman" w:hAnsi="Times New Roman"/>
          <w:b w:val="false"/>
          <w:i w:val="false"/>
          <w:color w:val="000000"/>
          <w:sz w:val="22"/>
        </w:rPr>
        <w:t> </w:t>
      </w:r>
      <w:r>
        <w:rPr>
          <w:rFonts w:ascii="Times New Roman" w:hAnsi="Times New Roman"/>
          <w:b w:val="false"/>
          <w:i w:val="false"/>
          <w:color w:val="000000"/>
          <w:sz w:val="22"/>
        </w:rPr>
        <w:t>All nonambulatory residents shall be housed on the grade level floor unless the facility has a suitably sized elevator.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481—63.16</w:t>
      </w:r>
      <w:r>
        <w:rPr>
          <w:rFonts w:ascii="Times New Roman" w:hAnsi="Times New Roman"/>
          <w:b/>
          <w:i w:val="false"/>
          <w:color w:val="000000"/>
          <w:sz w:val="22"/>
        </w:rPr>
        <w:t xml:space="preserve">(135C) </w:t>
      </w:r>
      <w:r>
        <w:rPr>
          <w:rFonts w:ascii="Times New Roman" w:hAnsi="Times New Roman"/>
          <w:b/>
          <w:i w:val="false"/>
          <w:color w:val="000000"/>
          <w:sz w:val="22"/>
        </w:rPr>
        <w:t xml:space="preserve">Drugs.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63.16(1)</w:t>
      </w:r>
      <w:r>
        <w:rPr>
          <w:rFonts w:ascii="Times New Roman" w:hAnsi="Times New Roman"/>
          <w:b w:val="false"/>
          <w:i w:val="false"/>
          <w:color w:val="000000"/>
          <w:sz w:val="22"/>
        </w:rPr>
        <w:t> </w:t>
      </w:r>
      <w:r>
        <w:rPr>
          <w:rFonts w:ascii="Times New Roman" w:hAnsi="Times New Roman"/>
          <w:b w:val="false"/>
          <w:i/>
          <w:color w:val="000000"/>
          <w:sz w:val="22"/>
        </w:rPr>
        <w:t xml:space="preserve">Drug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Residents who have been certified in writing by their primary care provider as capable of taking their own medications may retain these medications in their bedroom, but locked storage must be provided, with staff and the resident having access, and the drug storage shall be kept locked when not in use. Monitoring of the storage, administration, and documentation by the resident shall be carried out by a person who meets the requirements of </w:t>
      </w:r>
      <w:hyperlink r:id="rId34">
        <w:r>
          <w:rPr>
            <w:rStyle w:val="Hyperlink"/>
            <w:rFonts w:ascii="Times New Roman" w:hAnsi="Times New Roman"/>
            <w:b w:val="false"/>
            <w:i w:val="false"/>
            <w:color w:val="000000"/>
            <w:sz w:val="22"/>
          </w:rPr>
          <w:t>subrule 63.16(3)</w:t>
        </w:r>
      </w:hyperlink>
      <w:r>
        <w:rPr>
          <w:rFonts w:ascii="Times New Roman" w:hAnsi="Times New Roman"/>
          <w:b w:val="false"/>
          <w:i w:val="false"/>
          <w:color w:val="000000"/>
          <w:sz w:val="22"/>
        </w:rPr>
        <w:t xml:space="preserve"> and is responsible for administering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Drug storage for residents who are unable to take their own medications and require supervision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Locked storage for drugs, solutions, and prescriptions shall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bathroom shall not be used for drug storage.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drug storage shall be kept locked when not in use.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drug storage key shall be secured and available only to those employees charged with the responsibility of administering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Schedule II drugs, as defined by Iowa Code chapter </w:t>
      </w:r>
      <w:hyperlink r:id="rId3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shall be kept in a locked box within the locked drug storage.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Medications requiring refrigeration shall be kept locked in a refrigerator and separated from food and other items.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Drugs for external use shall be stored separately from drugs for internal use.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potent, poisonous, or caustic materials shall be stored separately from drugs, shall be plainly labeled and stored in a specific, well-illuminated cabinet, closet, or storeroom, and shall be made accessible only to authorized persons.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Inspection of drug storage shall be made by the administrator or designee and a registered pharmacist not less than once every three months. The inspection shall be verified by a report signed by the administrator and the pharmacist and filed with the administrator. The report shall include, but not be limited to, certification of the absence of the following: expired drugs, deteriorated drugs, improper labeling, drugs for which there is no current primary care provider’s order, and drugs improperly stored.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Bulk supplies of prescription drugs for multiresident use shall not be kept in a residential care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63.16(2)</w:t>
      </w:r>
      <w:r>
        <w:rPr>
          <w:rFonts w:ascii="Times New Roman" w:hAnsi="Times New Roman"/>
          <w:b w:val="false"/>
          <w:i w:val="false"/>
          <w:color w:val="000000"/>
          <w:sz w:val="22"/>
        </w:rPr>
        <w:t> </w:t>
      </w:r>
      <w:r>
        <w:rPr>
          <w:rFonts w:ascii="Times New Roman" w:hAnsi="Times New Roman"/>
          <w:b w:val="false"/>
          <w:i/>
          <w:color w:val="000000"/>
          <w:sz w:val="22"/>
        </w:rPr>
        <w:t xml:space="preserve">Drug safeguards.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prescribed medications shall be clearly labeled indicating the resident’s full name, primary care provider’s name, prescription number, name and strength of drug, dosage, directions for use, date of issue, and name and address and telephone number of pharmacy or primary care provider issuing the drug. Where unit dose is used, prescribed medications shall, at a minimum, indicate the resident’s full name, primary care provider’s name, name and strength of drug, and directions for use. Standard containers shall be utilized for dispensing drugs.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Sample medications provided by the resident’s primary care provider shall clearly identify to whom the medications belong.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Medication containers having soiled, damaged, illegible, or makeshift labels shall be returned to the issuing pharmacist, pharmacy, or primary care provider for relabeling or disposal.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medication for each resident shall be kept or stored in the original containers unless the resident is participating in an individualized medication program.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Unused prescription drugs shall be destroyed by the person in charge, in the presence of a witness, and with a notation made on the resident’s record or shall be returned to the supplying pharmacist.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Prescriptions shall be refilled only with the permission of the resident’s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Medications prescribed for one resident shall not be administered to or allowed in the possession of another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Instructions shall be requested from the Iowa board of pharmacy concerning disposal of unused Schedule II drugs prescribed for a resident who has died or for whom the Schedule II drug was discontinued.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Discontinued medications shall be destroyed within a specified time by a responsible person, in the presence of a witness, and with a notation made to that effect or shall be returned to the pharmacist for destruction. Drugs listed under the Schedule II drugs shall be destroyed in accordance with the requirements established by the Iowa board of pharmacy.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medication orders which do not specifically indicate the number of doses to be administered or the length of time the drug is to be administered shall be stopped automatically after a given time period. The automatic-stop order may vary for different types of drugs. The resident’s primary care provider, in conjunction with the pharmacist, shall institute these policies and provide procedures for review and endorsement.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No resident shall be allowed to possess any medications unless the primary care provider has certified in writing on the resident’s medical record that the resident is mentally and physically capable of doing so.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No medications or prescription drugs shall be administered to a resident without a written order signed by the primary care provider.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facility shall establish a policy to govern the distribution of prescribed medications to residents who are on leave from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Medications may be issued to residents who will be on leave from a facility for less than 24 hours. Only those medications needed for the time period that the resident will be on leave from the facility may be issued. Non-child-resistant containers may be used. Instructions shall be provided and include the date, the resident’s name, the name of the facility, and the name of the medication, its strength, dose and time of administration.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 for residents on leave from a facility for longer than 24 hours shall be obtained in accordance with requirements established by the Iowa board of pharmacy.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Medication for residents on leave from a facility may be issued only by facility personnel responsible for administering 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63.16(3)</w:t>
      </w:r>
      <w:r>
        <w:rPr>
          <w:rFonts w:ascii="Times New Roman" w:hAnsi="Times New Roman"/>
          <w:b w:val="false"/>
          <w:i w:val="false"/>
          <w:color w:val="000000"/>
          <w:sz w:val="22"/>
        </w:rPr>
        <w:t> </w:t>
      </w:r>
      <w:r>
        <w:rPr>
          <w:rFonts w:ascii="Times New Roman" w:hAnsi="Times New Roman"/>
          <w:b w:val="false"/>
          <w:i/>
          <w:color w:val="000000"/>
          <w:sz w:val="22"/>
        </w:rPr>
        <w:t xml:space="preserve">Drug administration—authorized personnel.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properly trained person shall be charged with the responsibility of administering medications as ordered by a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shall have knowledge of the purpose of the drugs and their dangers and contraindications.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shall be a licensed nurse or primary care provider or an individual who has completed the state-approved training course in medication administration, including a medication manager or certified medication aide. (II,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 to taking a department-approved medication aide course, the person shall have a letter of recommendation for admission to the medication aide course from the employing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is a nursing student or a graduate nurse may take the medication aide challenge examination in place of taking a course. The person shall do all of the following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a clinical or nursing theory course within six months before taking the challenge examination;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nursing program pharmacology course within one year before taking the challenge examination;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to the community college a written statement from the nursing program’s pharmacology or clinical instructor indicating that the person is competent in medication administration.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written documentation of certification as a medication aide in another state may become a medication aide in Iowa by successfully completing a department-approved nurse aide competency examination and a medication aide challenge examination. The requirements of </w:t>
      </w:r>
      <w:hyperlink r:id="rId36">
        <w:r>
          <w:rPr>
            <w:rStyle w:val="Hyperlink"/>
            <w:rFonts w:ascii="Times New Roman" w:hAnsi="Times New Roman"/>
            <w:b w:val="false"/>
            <w:i w:val="false"/>
            <w:color w:val="000000"/>
            <w:sz w:val="22"/>
          </w:rPr>
          <w:t>paragraph 63.16(3)</w:t>
        </w:r>
        <w:r>
          <w:rPr>
            <w:rFonts w:ascii="Times New Roman" w:hAnsi="Times New Roman"/>
            <w:b w:val="false"/>
            <w:i/>
            <w:color w:val="000000"/>
            <w:sz w:val="22"/>
          </w:rPr>
          <w:t>“d”</w:t>
        </w:r>
      </w:hyperlink>
      <w:r>
        <w:rPr>
          <w:rFonts w:ascii="Times New Roman" w:hAnsi="Times New Roman"/>
          <w:b w:val="false"/>
          <w:i w:val="false"/>
          <w:color w:val="000000"/>
          <w:sz w:val="22"/>
        </w:rPr>
        <w:t xml:space="preserve"> do not apply to this person. (III)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63.16(4)</w:t>
      </w:r>
      <w:r>
        <w:rPr>
          <w:rFonts w:ascii="Times New Roman" w:hAnsi="Times New Roman"/>
          <w:b w:val="false"/>
          <w:i w:val="false"/>
          <w:color w:val="000000"/>
          <w:sz w:val="22"/>
        </w:rPr>
        <w:t> </w:t>
      </w:r>
      <w:r>
        <w:rPr>
          <w:rFonts w:ascii="Times New Roman" w:hAnsi="Times New Roman"/>
          <w:b w:val="false"/>
          <w:i/>
          <w:color w:val="000000"/>
          <w:sz w:val="22"/>
        </w:rPr>
        <w:t xml:space="preserve">Drug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the unit dose system is used, the person assigned the responsibility of medication administration must complete the procedure by personally preparing the dose, observing the actual act of swallowing the oral medication, and charting the medication. In facilities where the unit dose system is used, the person assigned the responsibility of medication administration must complete the procedure by observing the actual act of swallowing the oral medication and by charting the medication. Medications shall be prepared on the same shift of the same day that they are administered unless the unit dose system is used.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Injectable medications shall be administered as permitted by Iowa law by a registered nurse, licensed practical nurse, primary care provider or pharmacist. For purposes of this subrule, “injectable medications” does not include an epinephrine autoinjector, e.g., an EpiPen.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certified by the resident’s primary care provider as capable of injecting the resident’s own insulin may do so. Insulin may be administered pursuant to </w:t>
      </w:r>
      <w:hyperlink r:id="rId37">
        <w:r>
          <w:rPr>
            <w:rStyle w:val="Hyperlink"/>
            <w:rFonts w:ascii="Times New Roman" w:hAnsi="Times New Roman"/>
            <w:b w:val="false"/>
            <w:i w:val="false"/>
            <w:color w:val="000000"/>
            <w:sz w:val="22"/>
          </w:rPr>
          <w:t>paragraph 63.16(4)</w:t>
        </w:r>
        <w:r>
          <w:rPr>
            <w:rFonts w:ascii="Times New Roman" w:hAnsi="Times New Roman"/>
            <w:b w:val="false"/>
            <w:i/>
            <w:color w:val="000000"/>
            <w:sz w:val="22"/>
          </w:rPr>
          <w:t>“b”</w:t>
        </w:r>
      </w:hyperlink>
      <w:r>
        <w:rPr>
          <w:rFonts w:ascii="Times New Roman" w:hAnsi="Times New Roman"/>
          <w:b w:val="false"/>
          <w:i w:val="false"/>
          <w:color w:val="000000"/>
          <w:sz w:val="22"/>
        </w:rPr>
        <w:t xml:space="preserve"> or as otherwise authorized by the resident’s primary care provider. (II, III) Authorization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maintained in the resident’s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renewed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the name of the person authorized to administer the insulin,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Include documentation by the primary care provider that the authorized person is qualified to administer insulin to that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resident may participate in the administration of the resident’s own medication if the primary care provider has certified in writing in the resident’s medical record that the resident is mentally and physically capable of participating and has explained in writing in the resident’s medical record what the resident’s participation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individual inventory record shall be maintained for each Schedule II drug prescribed for each resident, with an accurate count and authorized signatures at every shift.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facility may use a unit dose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Medication aides and medication managers may administer PRN medications without contacting a licensed nurse or primary care provider if all of the following apply: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order from the resident’s primary care provider specifies the purpose of the PRN medication and the frequency, dosage and strength of the PRN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resident’s primary care provider provides in writing specific criteria for administering PRN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pharmacist assesses the resident’s use of PRN medications when conducting the inspection of drug storage as required by </w:t>
      </w:r>
      <w:hyperlink r:id="rId38">
        <w:r>
          <w:rPr>
            <w:rStyle w:val="Hyperlink"/>
            <w:rFonts w:ascii="Times New Roman" w:hAnsi="Times New Roman"/>
            <w:b w:val="false"/>
            <w:i w:val="false"/>
            <w:color w:val="000000"/>
            <w:sz w:val="22"/>
          </w:rPr>
          <w:t>subparagraph 63.16(1)</w:t>
        </w:r>
        <w:r>
          <w:rPr>
            <w:rFonts w:ascii="Times New Roman" w:hAnsi="Times New Roman"/>
            <w:b w:val="false"/>
            <w:i/>
            <w:color w:val="000000"/>
            <w:sz w:val="22"/>
          </w:rPr>
          <w:t>“b”</w:t>
        </w:r>
        <w:r>
          <w:rPr>
            <w:rFonts w:ascii="Times New Roman" w:hAnsi="Times New Roman"/>
            <w:b w:val="false"/>
            <w:i w:val="false"/>
            <w:color w:val="000000"/>
            <w:sz w:val="22"/>
          </w:rPr>
          <w:t>(9)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pharmacist shall assess the use of PRN medications when conducting the inspection of drug storage as required by </w:t>
      </w:r>
      <w:hyperlink r:id="rId39">
        <w:r>
          <w:rPr>
            <w:rStyle w:val="Hyperlink"/>
            <w:rFonts w:ascii="Times New Roman" w:hAnsi="Times New Roman"/>
            <w:b w:val="false"/>
            <w:i w:val="false"/>
            <w:color w:val="000000"/>
            <w:sz w:val="22"/>
          </w:rPr>
          <w:t>subparagraph 63.16(1)</w:t>
        </w:r>
        <w:r>
          <w:rPr>
            <w:rFonts w:ascii="Times New Roman" w:hAnsi="Times New Roman"/>
            <w:b w:val="false"/>
            <w:i/>
            <w:color w:val="000000"/>
            <w:sz w:val="22"/>
          </w:rPr>
          <w:t>“b”</w:t>
        </w:r>
        <w:r>
          <w:rPr>
            <w:rFonts w:ascii="Times New Roman" w:hAnsi="Times New Roman"/>
            <w:b w:val="false"/>
            <w:i w:val="false"/>
            <w:color w:val="000000"/>
            <w:sz w:val="22"/>
          </w:rPr>
          <w:t>(9)</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Medications administered by an employee of the facility shall be recorded on a medication record by the individual who administers the medication.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4577C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481—63.17</w:t>
      </w:r>
      <w:r>
        <w:rPr>
          <w:rFonts w:ascii="Times New Roman" w:hAnsi="Times New Roman"/>
          <w:b/>
          <w:i w:val="false"/>
          <w:color w:val="000000"/>
          <w:sz w:val="22"/>
        </w:rPr>
        <w:t xml:space="preserve">(135C) </w:t>
      </w:r>
      <w:r>
        <w:rPr>
          <w:rFonts w:ascii="Times New Roman" w:hAnsi="Times New Roman"/>
          <w:b/>
          <w:i w:val="false"/>
          <w:color w:val="000000"/>
          <w:sz w:val="22"/>
        </w:rPr>
        <w:t xml:space="preserve">Dental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63.17(1)</w:t>
      </w:r>
      <w:r>
        <w:rPr>
          <w:rFonts w:ascii="Times New Roman" w:hAnsi="Times New Roman"/>
          <w:b w:val="false"/>
          <w:i w:val="false"/>
          <w:color w:val="000000"/>
          <w:sz w:val="22"/>
        </w:rPr>
        <w:t> </w:t>
      </w:r>
      <w:r>
        <w:rPr>
          <w:rFonts w:ascii="Times New Roman" w:hAnsi="Times New Roman"/>
          <w:b w:val="false"/>
          <w:i w:val="false"/>
          <w:color w:val="000000"/>
          <w:sz w:val="22"/>
        </w:rPr>
        <w:t>The residential care facility personnel shall assist residents in obtaining annual and emergency dental services and shall arrange transportation for such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63.17(2)</w:t>
      </w:r>
      <w:r>
        <w:rPr>
          <w:rFonts w:ascii="Times New Roman" w:hAnsi="Times New Roman"/>
          <w:b w:val="false"/>
          <w:i w:val="false"/>
          <w:color w:val="000000"/>
          <w:sz w:val="22"/>
        </w:rPr>
        <w:t> </w:t>
      </w:r>
      <w:r>
        <w:rPr>
          <w:rFonts w:ascii="Times New Roman" w:hAnsi="Times New Roman"/>
          <w:b w:val="false"/>
          <w:i w:val="false"/>
          <w:color w:val="000000"/>
          <w:sz w:val="22"/>
        </w:rPr>
        <w:t>Dental services shall be performed only on the request of the resident, responsible party, legal representative, or primary care provider. The resident’s primary care provider shall be advised of the resident’s dental problems.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63.17(3)</w:t>
      </w:r>
      <w:r>
        <w:rPr>
          <w:rFonts w:ascii="Times New Roman" w:hAnsi="Times New Roman"/>
          <w:b w:val="false"/>
          <w:i w:val="false"/>
          <w:color w:val="000000"/>
          <w:sz w:val="22"/>
        </w:rPr>
        <w:t> </w:t>
      </w:r>
      <w:r>
        <w:rPr>
          <w:rFonts w:ascii="Times New Roman" w:hAnsi="Times New Roman"/>
          <w:b w:val="false"/>
          <w:i w:val="false"/>
          <w:color w:val="000000"/>
          <w:sz w:val="22"/>
        </w:rPr>
        <w:t>All dental reports or progress notes shall be included in the resident record as available. The facility shall make reasonable efforts to obtain the records following the provision of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63.17(4)</w:t>
      </w:r>
      <w:r>
        <w:rPr>
          <w:rFonts w:ascii="Times New Roman" w:hAnsi="Times New Roman"/>
          <w:b w:val="false"/>
          <w:i w:val="false"/>
          <w:color w:val="000000"/>
          <w:sz w:val="22"/>
        </w:rPr>
        <w:t> </w:t>
      </w:r>
      <w:r>
        <w:rPr>
          <w:rFonts w:ascii="Times New Roman" w:hAnsi="Times New Roman"/>
          <w:b w:val="false"/>
          <w:i w:val="false"/>
          <w:color w:val="000000"/>
          <w:sz w:val="22"/>
        </w:rPr>
        <w:t>Personal care staff shall assist the resident in carrying out the dentist’s recommendations.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481—63.18</w:t>
      </w:r>
      <w:r>
        <w:rPr>
          <w:rFonts w:ascii="Times New Roman" w:hAnsi="Times New Roman"/>
          <w:b/>
          <w:i w:val="false"/>
          <w:color w:val="000000"/>
          <w:sz w:val="22"/>
        </w:rPr>
        <w:t xml:space="preserve">(135C) </w:t>
      </w:r>
      <w:r>
        <w:rPr>
          <w:rFonts w:ascii="Times New Roman" w:hAnsi="Times New Roman"/>
          <w:b/>
          <w:i w:val="false"/>
          <w:color w:val="000000"/>
          <w:sz w:val="22"/>
        </w:rPr>
        <w:t xml:space="preserve">Dietary.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63.18(1)</w:t>
      </w:r>
      <w:r>
        <w:rPr>
          <w:rFonts w:ascii="Times New Roman" w:hAnsi="Times New Roman"/>
          <w:b w:val="false"/>
          <w:i w:val="false"/>
          <w:color w:val="000000"/>
          <w:sz w:val="22"/>
        </w:rPr>
        <w:t> </w:t>
      </w:r>
      <w:r>
        <w:rPr>
          <w:rFonts w:ascii="Times New Roman" w:hAnsi="Times New Roman"/>
          <w:b w:val="false"/>
          <w:i/>
          <w:color w:val="000000"/>
          <w:sz w:val="22"/>
        </w:rPr>
        <w:t xml:space="preserve">Dietary staffing. </w:t>
      </w:r>
      <w:r>
        <w:rPr>
          <w:rFonts w:ascii="Times New Roman" w:hAnsi="Times New Roman"/>
          <w:b w:val="false"/>
          <w:i w:val="false"/>
          <w:color w:val="000000"/>
          <w:sz w:val="22"/>
        </w:rPr>
        <w:t>Personnel who are responsible for food preparation or service, or both food preparation and service, shall have an orientation on sanitation and safe food handling prior to handling food and shall have annual in-service training on food protection.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63.18(2)</w:t>
      </w:r>
      <w:r>
        <w:rPr>
          <w:rFonts w:ascii="Times New Roman" w:hAnsi="Times New Roman"/>
          <w:b w:val="false"/>
          <w:i w:val="false"/>
          <w:color w:val="000000"/>
          <w:sz w:val="22"/>
        </w:rPr>
        <w:t> </w:t>
      </w:r>
      <w:r>
        <w:rPr>
          <w:rFonts w:ascii="Times New Roman" w:hAnsi="Times New Roman"/>
          <w:b w:val="false"/>
          <w:i/>
          <w:color w:val="000000"/>
          <w:sz w:val="22"/>
        </w:rPr>
        <w:t xml:space="preserve">Nutrition and menu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followed to meet the nutritional needs of residents in accordance with the primary care provider’s orders. Diet orders should be reviewed as necessary, but at least quarterly, by the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facilities where residents plan and prepare their own meals, education and support shall be provided to residents regarding proper food preparation, dietary guidelines, and food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facilities where food is regularly prepared for residents,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served to include foods and amounts necessary to meet federal dietary guidelines.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three meals or their equivalent shall be offered daily, at regular hours. (II, III)</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shall be no more than a 14-hour span between offering a substantial evening meal and breakfast. (II, III)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Unless contraindicated, evening snacks shall be offered routinely to all residents. Special nourishments shall be available when ordered by the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Menus shall include a variety of foods prepared in various ways.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Menus shall be written at least one week in advance. The current menu shall be located in an accessible place for easy use by persons purchasing, preparing, and serving food.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Records of menus as served shall be filed and maintained for 30 days and shall be available for review by departmental personnel. When substitutions are necessary or requested, they shall be of similar nutritive value and recorded on the menu or in a notebook.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an alternative choice at scheduled meal times.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63.18(3)</w:t>
      </w:r>
      <w:r>
        <w:rPr>
          <w:rFonts w:ascii="Times New Roman" w:hAnsi="Times New Roman"/>
          <w:b w:val="false"/>
          <w:i w:val="false"/>
          <w:color w:val="000000"/>
          <w:sz w:val="22"/>
        </w:rPr>
        <w:t> </w:t>
      </w:r>
      <w:r>
        <w:rPr>
          <w:rFonts w:ascii="Times New Roman" w:hAnsi="Times New Roman"/>
          <w:b w:val="false"/>
          <w:i/>
          <w:color w:val="000000"/>
          <w:sz w:val="22"/>
        </w:rPr>
        <w:t xml:space="preserve">Dietary storage, food preparation, and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food shall be handled, prepared, served and stored in compliance with the Food Code adopted pursuant to Iowa Code section </w:t>
      </w:r>
      <w:hyperlink r:id="rId40">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Supplies of staple foods for a minimum of a one-week period and of perishable foods for a minimum of a two-day period shall be maintained on the premises. Minimum food portion requirements for a low-cost plan shall conform to information supplied by the bureau of nutrition and health promotion of the department of public health.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Dishes shall be free of cracks, chips, and stains.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family-style service is used, all leftover prepared food that has been on the table shall be properly handled.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63.18(4)</w:t>
      </w:r>
      <w:r>
        <w:rPr>
          <w:rFonts w:ascii="Times New Roman" w:hAnsi="Times New Roman"/>
          <w:b w:val="false"/>
          <w:i w:val="false"/>
          <w:color w:val="000000"/>
          <w:sz w:val="22"/>
        </w:rPr>
        <w:t> </w:t>
      </w:r>
      <w:r>
        <w:rPr>
          <w:rFonts w:ascii="Times New Roman" w:hAnsi="Times New Roman"/>
          <w:b w:val="false"/>
          <w:i/>
          <w:color w:val="000000"/>
          <w:sz w:val="22"/>
        </w:rPr>
        <w:t xml:space="preserve">Sanitation in food preparation area. </w:t>
      </w:r>
      <w:r>
        <w:rPr>
          <w:rFonts w:ascii="Times New Roman" w:hAnsi="Times New Roman"/>
          <w:b w:val="false"/>
          <w:i w:val="false"/>
          <w:color w:val="000000"/>
          <w:sz w:val="22"/>
        </w:rPr>
        <w:t>There shall be written procedures established for cleaning all work and serving areas.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481—63.19</w:t>
      </w:r>
      <w:r>
        <w:rPr>
          <w:rFonts w:ascii="Times New Roman" w:hAnsi="Times New Roman"/>
          <w:b/>
          <w:i w:val="false"/>
          <w:color w:val="000000"/>
          <w:sz w:val="22"/>
        </w:rPr>
        <w:t xml:space="preserve">(135C) </w:t>
      </w:r>
      <w:r>
        <w:rPr>
          <w:rFonts w:ascii="Times New Roman" w:hAnsi="Times New Roman"/>
          <w:b/>
          <w:i w:val="false"/>
          <w:color w:val="000000"/>
          <w:sz w:val="22"/>
        </w:rPr>
        <w:t xml:space="preserve">Orientation and 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63.19(1)</w:t>
      </w:r>
      <w:r>
        <w:rPr>
          <w:rFonts w:ascii="Times New Roman" w:hAnsi="Times New Roman"/>
          <w:b w:val="false"/>
          <w:i w:val="false"/>
          <w:color w:val="000000"/>
          <w:sz w:val="22"/>
        </w:rPr>
        <w:t> </w:t>
      </w:r>
      <w:r>
        <w:rPr>
          <w:rFonts w:ascii="Times New Roman" w:hAnsi="Times New Roman"/>
          <w:b w:val="false"/>
          <w:i/>
          <w:color w:val="000000"/>
          <w:sz w:val="22"/>
        </w:rPr>
        <w:t xml:space="preserve">Orientation. </w:t>
      </w:r>
      <w:r>
        <w:rPr>
          <w:rFonts w:ascii="Times New Roman" w:hAnsi="Times New Roman"/>
          <w:b w:val="false"/>
          <w:i w:val="false"/>
          <w:color w:val="000000"/>
          <w:sz w:val="22"/>
        </w:rPr>
        <w:t>Within 24 hours of admission, each resident shall receive orientation to the facility. The orientation program shall be documented in the resident’s file and shall include, but shall not be limited to, a review of the resident’s rights, the daily schedule, house rules and the facility’s evacuation plan.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63.19(2)</w:t>
      </w:r>
      <w:r>
        <w:rPr>
          <w:rFonts w:ascii="Times New Roman" w:hAnsi="Times New Roman"/>
          <w:b w:val="false"/>
          <w:i w:val="false"/>
          <w:color w:val="000000"/>
          <w:sz w:val="22"/>
        </w:rPr>
        <w:t> </w:t>
      </w:r>
      <w:r>
        <w:rPr>
          <w:rFonts w:ascii="Times New Roman" w:hAnsi="Times New Roman"/>
          <w:b w:val="false"/>
          <w:i/>
          <w:color w:val="000000"/>
          <w:sz w:val="22"/>
        </w:rPr>
        <w:t xml:space="preserve">Initial service plan. </w:t>
      </w:r>
      <w:r>
        <w:rPr>
          <w:rFonts w:ascii="Times New Roman" w:hAnsi="Times New Roman"/>
          <w:b w:val="false"/>
          <w:i w:val="false"/>
          <w:color w:val="000000"/>
          <w:sz w:val="22"/>
        </w:rPr>
        <w:t xml:space="preserve">Within 48 hours of admission, the administrator or the administrator’s designee shall develop an initial service plan to address any immediate health and safety needs. The plan shall be based on information gathered from the resident, family, referring party, primary care provider, and other significant persons. The plan shall be followed until the service plan required in subrule </w:t>
      </w:r>
      <w:hyperlink r:id="rId41">
        <w:r>
          <w:rPr>
            <w:rStyle w:val="Hyperlink"/>
            <w:rFonts w:ascii="Times New Roman" w:hAnsi="Times New Roman"/>
            <w:b w:val="false"/>
            <w:i w:val="false"/>
            <w:color w:val="000000"/>
            <w:sz w:val="22"/>
          </w:rPr>
          <w:t>63.19(3)</w:t>
        </w:r>
      </w:hyperlink>
      <w:r>
        <w:rPr>
          <w:rFonts w:ascii="Times New Roman" w:hAnsi="Times New Roman"/>
          <w:b w:val="false"/>
          <w:i w:val="false"/>
          <w:color w:val="000000"/>
          <w:sz w:val="22"/>
        </w:rPr>
        <w:t xml:space="preserve"> is complete.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63.19(3)</w:t>
      </w: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Within 30 days of admission, the administrator or the administrator’s designee, in conjunction with the resident and the resident’s interdisciplinary team, shall develop a written, individualized, and integrated service plan for the resident. The service plan shall be developed and implemented to address the resident’s priorities and assessed needs, such as activities of daily living, rehabilitation, activity, and social, behavioral, emotional, physical and mental health.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include measurable goals and objectives and the specific service(s) to be provided to achieve the goals. Each goal shall include the date of initiation and anticipated duration of service(s). Any restriction of rights shall be included in the service plan.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include the documentation procedure for each goal and objective.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plan should be modified to add or delete goals and objectives as the resident’s needs change. Communications related to service plan changes or changes in the resident’s condition shall occur within five working days of the change and shall be conveyed to all individuals inside and outside the residential care facility who work with the resident, as well as to the resident’s responsible party.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reviewed at least quarterly by relevant staff, the resident and appropriate others, such as the resident’s family, case manager and responsible party. The review shall include a written report which addresses a summary of the resident’s progress toward goals and objectives and the need for continued services.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481—63.20</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activities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63.20(1)</w:t>
      </w:r>
      <w:r>
        <w:rPr>
          <w:rFonts w:ascii="Times New Roman" w:hAnsi="Times New Roman"/>
          <w:b w:val="false"/>
          <w:i w:val="false"/>
          <w:color w:val="000000"/>
          <w:sz w:val="22"/>
        </w:rPr>
        <w:t> </w:t>
      </w:r>
      <w:r>
        <w:rPr>
          <w:rFonts w:ascii="Times New Roman" w:hAnsi="Times New Roman"/>
          <w:b w:val="false"/>
          <w:i/>
          <w:color w:val="000000"/>
          <w:sz w:val="22"/>
        </w:rPr>
        <w:t xml:space="preserve">Activities program. </w:t>
      </w:r>
      <w:r>
        <w:rPr>
          <w:rFonts w:ascii="Times New Roman" w:hAnsi="Times New Roman"/>
          <w:b w:val="false"/>
          <w:i w:val="false"/>
          <w:color w:val="000000"/>
          <w:sz w:val="22"/>
        </w:rPr>
        <w:t>Each residential care facility shall provide suitable group and individual activities for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activities provided shall be designed to meet the needs and interests of each resident and to assist residents in continuing normal activities within limitations set by the resident’s primary care provider. This shall include helping residents continue in their individual interests or hobbies.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shall be encouraged, but not required, to participate in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63.20(2)</w:t>
      </w:r>
      <w:r>
        <w:rPr>
          <w:rFonts w:ascii="Times New Roman" w:hAnsi="Times New Roman"/>
          <w:b w:val="false"/>
          <w:i w:val="false"/>
          <w:color w:val="000000"/>
          <w:sz w:val="22"/>
        </w:rPr>
        <w:t> </w:t>
      </w:r>
      <w:r>
        <w:rPr>
          <w:rFonts w:ascii="Times New Roman" w:hAnsi="Times New Roman"/>
          <w:b w:val="false"/>
          <w:i w:val="false"/>
          <w:color w:val="000000"/>
          <w:sz w:val="22"/>
        </w:rPr>
        <w:t>Each resident may participate in activities of social, religious, and community groups at the resident’s discretion unless contraindicated for reasons documented by the primary care provider or interdisciplinary team as appropriate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63.20(3)</w:t>
      </w:r>
      <w:r>
        <w:rPr>
          <w:rFonts w:ascii="Times New Roman" w:hAnsi="Times New Roman"/>
          <w:b w:val="false"/>
          <w:i w:val="false"/>
          <w:color w:val="000000"/>
          <w:sz w:val="22"/>
        </w:rPr>
        <w:t> </w:t>
      </w:r>
      <w:r>
        <w:rPr>
          <w:rFonts w:ascii="Times New Roman" w:hAnsi="Times New Roman"/>
          <w:b w:val="false"/>
          <w:i w:val="false"/>
          <w:color w:val="000000"/>
          <w:sz w:val="22"/>
        </w:rPr>
        <w:t>Residents who wish to meet with or participate in activities of social, religious, or other community groups in or outside of the facility shall be informed, encouraged, and assisted to do so.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63.20(4)</w:t>
      </w:r>
      <w:r>
        <w:rPr>
          <w:rFonts w:ascii="Times New Roman" w:hAnsi="Times New Roman"/>
          <w:b w:val="false"/>
          <w:i w:val="false"/>
          <w:color w:val="000000"/>
          <w:sz w:val="22"/>
        </w:rPr>
        <w:t> </w:t>
      </w:r>
      <w:r>
        <w:rPr>
          <w:rFonts w:ascii="Times New Roman" w:hAnsi="Times New Roman"/>
          <w:b w:val="false"/>
          <w:i/>
          <w:color w:val="000000"/>
          <w:sz w:val="22"/>
        </w:rPr>
        <w:t xml:space="preserve">Supplies, equipment, and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facility shall provide a variety of supplies and equipment of a nature calculated to fit the needs and interests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Storage shall be provided for recreational equipment and supplies.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481—63.21</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Residents’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63.21(1)</w:t>
      </w:r>
      <w:r>
        <w:rPr>
          <w:rFonts w:ascii="Times New Roman" w:hAnsi="Times New Roman"/>
          <w:b w:val="false"/>
          <w:i w:val="false"/>
          <w:color w:val="000000"/>
          <w:sz w:val="22"/>
        </w:rPr>
        <w:t> </w:t>
      </w:r>
      <w:r>
        <w:rPr>
          <w:rFonts w:ascii="Times New Roman" w:hAnsi="Times New Roman"/>
          <w:b w:val="false"/>
          <w:i w:val="false"/>
          <w:color w:val="000000"/>
          <w:sz w:val="22"/>
        </w:rPr>
        <w:t>Each facility shall ensure that policies and procedures are written and implemented which include, at a minimum, the provisions of this rule and which govern all areas of service provided by the facility. These policies and procedures shall be available to staff, residents, residents’ families or legal representatives and the public and shall be reviewed annually.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63.21(2)</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a method for submitting complaints and recommendations by residents or their responsible parties and for ensuring a response and disposition by the facility. (II, III) The written procedures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the provision of assistance to residents as necessary to complete and submit complaints and recommendations;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protection of the resident from any form of reprisal or intimidation;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designation of an employee responsible for handling grievances and recommendations;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a method of investigating and assessing the validity of a grievance or recommendation;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methods of recording grievances and actions taken.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63.21(3)</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provisions governing access to, duplication of, and dissemination of information from the residents’ records.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a provision that each resident shall be fully informed of the resident’s rights and responsibilities as a resident and of all rules governing resident conduct and responsibilities. This information must be provided upon the resident’s admission or, in the case of residents already in the facility, upon the facility’s adoption or amendment of residents’ rights policies.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communicate to residents prior to or within five days after admission what residents may expect from the facility and its staff and what is expected from residents. The communication shall be in writing, e.g., in a separate handout or brochure describing the facility, and interpreted verbally, e.g., as part of a preadmission interview, resident counseling, or in individual or group orientation sessions following the resident’s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rights and responsibilities shall be presented in language understandable to the resident. If the facility serves residents who are non-English-speaking or deaf or hard of hearing, steps shall be taken to translate the information into a foreign or sign language. In the case of blind residents, either Braille or a recording shall be provided. Residents shall be encouraged to ask questions about their rights and responsibilities, and these questions shall be answered.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shall be signed by the resident, or the resident’s responsible party if applicable, indicating an understanding of these rights and responsibilities and shall be maintained in the resident’s record. The statement shall be signed no later than five days after admission, and a copy of the signed statement shall be given to the resident or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order to ensure that residents continue to be aware of these rights and responsibilities during their stay, a written copy shall be prominently posted in a location that is available to all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residents shall be advised within 30 days following changes made in the statement of residents’ rights and responsibilities. Appropriate means shall be utilized to inform non-English-speaking, deaf or hard-of-hearing, or blind residents of changes.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63.21(5)</w:t>
      </w:r>
      <w:r>
        <w:rPr>
          <w:rFonts w:ascii="Times New Roman" w:hAnsi="Times New Roman"/>
          <w:b w:val="false"/>
          <w:i w:val="false"/>
          <w:color w:val="000000"/>
          <w:sz w:val="22"/>
        </w:rPr>
        <w:t> </w:t>
      </w:r>
      <w:r>
        <w:rPr>
          <w:rFonts w:ascii="Times New Roman" w:hAnsi="Times New Roman"/>
          <w:b w:val="false"/>
          <w:i w:val="false"/>
          <w:color w:val="000000"/>
          <w:sz w:val="22"/>
        </w:rPr>
        <w:t>Choice of primary care provider. Each resident shall be permitted free choice of a primary care provider, and pharmacy, if accessible. The facility may require the selected pharmacy to utilize a drug distribution system compatible with the system currently used by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63.21(6)</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shall be afforded the opportunity to participate in the planning of the resident’s total care and treatment, which may include, but shall not be limited to, medical care, nutritional needs, activities, and social work services. Each resident has the right to refuse treatment except as provided by Iowa Code chapter </w:t>
      </w:r>
      <w:hyperlink r:id="rId42">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In the case of a resident with a responsible party, the responsible party shall be afforded the opportunity to participate in the planning of the resident’s total care and medical treatment and to be informed of the resident’s medical condition.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63.21(7)</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encouraged and assisted throughout the resident’s period of stay to exercise the resident’s rights as a resident and as a citizen and may voice grievances and recommend changes in policies and services to administrative staff or to outside representatives of the resident’s choice, free from interference, coercion, discrimination, or reprisal.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63.21(8)</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ongoing opportunities for residents to be aware of and to exercise their rights as residents. Residents shall be kept informed of changes in policies and services that are more restrictive, and their views shall be solicited prior to action.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63.21(9)</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post in a prominent area the text of Iowa Code section </w:t>
      </w:r>
      <w:hyperlink r:id="rId43">
        <w:r>
          <w:rPr>
            <w:rStyle w:val="Hyperlink"/>
            <w:rFonts w:ascii="Times New Roman" w:hAnsi="Times New Roman"/>
            <w:b w:val="false"/>
            <w:i w:val="false"/>
            <w:color w:val="000000"/>
            <w:sz w:val="22"/>
          </w:rPr>
          <w:t>135C.46</w:t>
        </w:r>
      </w:hyperlink>
      <w:r>
        <w:rPr>
          <w:rFonts w:ascii="Times New Roman" w:hAnsi="Times New Roman"/>
          <w:b w:val="false"/>
          <w:i w:val="false"/>
          <w:color w:val="000000"/>
          <w:sz w:val="22"/>
        </w:rPr>
        <w:t xml:space="preserve"> (Retaliation by facility prohibited) and the name, telephone number, and address of the long-term care ombudsman, the department, and the local law enforcement agency to provide residents a further course of redress.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63.21(10)</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and responsibilities of the resident devolve to the resident’s responsible party or any legal surrogate designated in accordance with state law, to the extent permitted by state law. This subrule is not intended to limit the authority of any individual acting pursuant to Iowa Code chapter </w:t>
      </w:r>
      <w:hyperlink r:id="rId44">
        <w:r>
          <w:rPr>
            <w:rStyle w:val="Hyperlink"/>
            <w:rFonts w:ascii="Times New Roman" w:hAnsi="Times New Roman"/>
            <w:b w:val="false"/>
            <w:i w:val="false"/>
            <w:color w:val="000000"/>
            <w:sz w:val="22"/>
          </w:rPr>
          <w:t>144A</w:t>
        </w:r>
      </w:hyperlink>
      <w:r>
        <w:rPr>
          <w:rFonts w:ascii="Times New Roman" w:hAnsi="Times New Roman"/>
          <w:b w:val="false"/>
          <w:i w:val="false"/>
          <w:color w:val="000000"/>
          <w:sz w:val="22"/>
        </w:rPr>
        <w:t>.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5711C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481—63.22</w:t>
      </w:r>
      <w:r>
        <w:rPr>
          <w:rFonts w:ascii="Times New Roman" w:hAnsi="Times New Roman"/>
          <w:b/>
          <w:i w:val="false"/>
          <w:color w:val="000000"/>
          <w:sz w:val="22"/>
        </w:rPr>
        <w:t xml:space="preserve">(135C) </w:t>
      </w:r>
      <w:r>
        <w:rPr>
          <w:rFonts w:ascii="Times New Roman" w:hAnsi="Times New Roman"/>
          <w:b/>
          <w:i w:val="false"/>
          <w:color w:val="000000"/>
          <w:sz w:val="22"/>
        </w:rPr>
        <w:t xml:space="preserve">Dignity preserved. </w:t>
      </w:r>
      <w:r>
        <w:rPr>
          <w:rFonts w:ascii="Times New Roman" w:hAnsi="Times New Roman"/>
          <w:b w:val="false"/>
          <w:i w:val="false"/>
          <w:color w:val="000000"/>
          <w:sz w:val="22"/>
        </w:rPr>
        <w:t>The resident shall be treated with consideration, respect, and full recognition of dignity and individuality, including privacy in treatment and in care for personal needs.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63.22(1)</w:t>
      </w:r>
      <w:r>
        <w:rPr>
          <w:rFonts w:ascii="Times New Roman" w:hAnsi="Times New Roman"/>
          <w:b w:val="false"/>
          <w:i w:val="false"/>
          <w:color w:val="000000"/>
          <w:sz w:val="22"/>
        </w:rPr>
        <w:t> </w:t>
      </w:r>
      <w:r>
        <w:rPr>
          <w:rFonts w:ascii="Times New Roman" w:hAnsi="Times New Roman"/>
          <w:b w:val="false"/>
          <w:i w:val="false"/>
          <w:color w:val="000000"/>
          <w:sz w:val="22"/>
        </w:rPr>
        <w:t>Staff shall display respect for residents when speaking with, caring for, or talking about them, as constant affirmation of their individuality and dignity as human beings.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63.22(2)</w:t>
      </w:r>
      <w:r>
        <w:rPr>
          <w:rFonts w:ascii="Times New Roman" w:hAnsi="Times New Roman"/>
          <w:b w:val="false"/>
          <w:i w:val="false"/>
          <w:color w:val="000000"/>
          <w:sz w:val="22"/>
        </w:rPr>
        <w:t> </w:t>
      </w:r>
      <w:r>
        <w:rPr>
          <w:rFonts w:ascii="Times New Roman" w:hAnsi="Times New Roman"/>
          <w:b w:val="false"/>
          <w:i w:val="false"/>
          <w:color w:val="000000"/>
          <w:sz w:val="22"/>
        </w:rPr>
        <w:t>Schedules of daily activities shall allow maximum flexibility for residents to exercise choice about what they will do and when they will do it. Residents’ individual preferences regarding such things as menus, clothing, religious activities, friendships, activity programs, entertainment, sleeping and eating, also times to retire at night and arise in the morning shall be elicited and considered by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63.22(3)</w:t>
      </w:r>
      <w:r>
        <w:rPr>
          <w:rFonts w:ascii="Times New Roman" w:hAnsi="Times New Roman"/>
          <w:b w:val="false"/>
          <w:i w:val="false"/>
          <w:color w:val="000000"/>
          <w:sz w:val="22"/>
        </w:rPr>
        <w:t> </w:t>
      </w:r>
      <w:r>
        <w:rPr>
          <w:rFonts w:ascii="Times New Roman" w:hAnsi="Times New Roman"/>
          <w:b w:val="false"/>
          <w:i w:val="false"/>
          <w:color w:val="000000"/>
          <w:sz w:val="22"/>
        </w:rPr>
        <w:t>Residents shall be examined and treated in a manner that maintains the privacy of their bodies. A closed door or a drawn curtain shall shield the resident from passersby. People not involved in the care of the residents shall not be present without the resident’s consent while the resident is being examined or treated.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63.22(4)</w:t>
      </w:r>
      <w:r>
        <w:rPr>
          <w:rFonts w:ascii="Times New Roman" w:hAnsi="Times New Roman"/>
          <w:b w:val="false"/>
          <w:i w:val="false"/>
          <w:color w:val="000000"/>
          <w:sz w:val="22"/>
        </w:rPr>
        <w:t> </w:t>
      </w:r>
      <w:r>
        <w:rPr>
          <w:rFonts w:ascii="Times New Roman" w:hAnsi="Times New Roman"/>
          <w:b w:val="false"/>
          <w:i w:val="false"/>
          <w:color w:val="000000"/>
          <w:sz w:val="22"/>
        </w:rPr>
        <w:t>Privacy of a resident’s body also shall be maintained during toileting, bathing, and other activities of personal hygiene, except as needed for resident safety or assistance.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63.22(5)</w:t>
      </w:r>
      <w:r>
        <w:rPr>
          <w:rFonts w:ascii="Times New Roman" w:hAnsi="Times New Roman"/>
          <w:b w:val="false"/>
          <w:i w:val="false"/>
          <w:color w:val="000000"/>
          <w:sz w:val="22"/>
        </w:rPr>
        <w:t> </w:t>
      </w:r>
      <w:r>
        <w:rPr>
          <w:rFonts w:ascii="Times New Roman" w:hAnsi="Times New Roman"/>
          <w:b w:val="false"/>
          <w:i w:val="false"/>
          <w:color w:val="000000"/>
          <w:sz w:val="22"/>
        </w:rPr>
        <w:t>Staff shall knock and be acknowledged before entering a resident’s room unless the resident is not capable of a response. This shall not apply under emergency conditions.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481—63.23</w:t>
      </w:r>
      <w:r>
        <w:rPr>
          <w:rFonts w:ascii="Times New Roman" w:hAnsi="Times New Roman"/>
          <w:b/>
          <w:i w:val="false"/>
          <w:color w:val="000000"/>
          <w:sz w:val="22"/>
        </w:rPr>
        <w:t xml:space="preserve">(135C) </w:t>
      </w:r>
      <w:r>
        <w:rPr>
          <w:rFonts w:ascii="Times New Roman" w:hAnsi="Times New Roman"/>
          <w:b/>
          <w:i w:val="false"/>
          <w:color w:val="000000"/>
          <w:sz w:val="22"/>
        </w:rPr>
        <w:t xml:space="preserve">Communications. </w:t>
      </w:r>
      <w:r>
        <w:rPr>
          <w:rFonts w:ascii="Times New Roman" w:hAnsi="Times New Roman"/>
          <w:b w:val="false"/>
          <w:i w:val="false"/>
          <w:color w:val="000000"/>
          <w:sz w:val="22"/>
        </w:rPr>
        <w:t>Each resident may communicate, associate, and meet privately with persons of the resident’s choice, unless to do so would infringe upon the rights of other residents, and may send and receive personal mail unopened.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63.23(1)</w:t>
      </w:r>
      <w:r>
        <w:rPr>
          <w:rFonts w:ascii="Times New Roman" w:hAnsi="Times New Roman"/>
          <w:b w:val="false"/>
          <w:i w:val="false"/>
          <w:color w:val="000000"/>
          <w:sz w:val="22"/>
        </w:rPr>
        <w:t> </w:t>
      </w:r>
      <w:r>
        <w:rPr>
          <w:rFonts w:ascii="Times New Roman" w:hAnsi="Times New Roman"/>
          <w:b w:val="false"/>
          <w:i w:val="false"/>
          <w:color w:val="000000"/>
          <w:sz w:val="22"/>
        </w:rPr>
        <w:t>Subject to reasonable scheduling restrictions, visiting policies and procedures shall permit residents to receive visits from anyone they wish. Visiting hours shall be posted.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63.23(2)</w:t>
      </w:r>
      <w:r>
        <w:rPr>
          <w:rFonts w:ascii="Times New Roman" w:hAnsi="Times New Roman"/>
          <w:b w:val="false"/>
          <w:i w:val="false"/>
          <w:color w:val="000000"/>
          <w:sz w:val="22"/>
        </w:rPr>
        <w:t> </w:t>
      </w:r>
      <w:r>
        <w:rPr>
          <w:rFonts w:ascii="Times New Roman" w:hAnsi="Times New Roman"/>
          <w:b w:val="false"/>
          <w:i w:val="false"/>
          <w:color w:val="000000"/>
          <w:sz w:val="22"/>
        </w:rPr>
        <w:t>Reasonable, regular visiting hours shall not be less than 12 hours per day and shall take into consideration the special circumstances of each visitor. A particular visitor(s) may be restricted by the facility for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 refuses to see the visitor(s).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primary care provider documents specific reasons why such a visit would be harmful to the resident’s health.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visitor’s behavior is unreasonably disruptive to the functioning of the facility. This judgment must be made by the administrator, and the reasons shall be documented and kept on file.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63.23(3)</w:t>
      </w:r>
      <w:r>
        <w:rPr>
          <w:rFonts w:ascii="Times New Roman" w:hAnsi="Times New Roman"/>
          <w:b w:val="false"/>
          <w:i w:val="false"/>
          <w:color w:val="000000"/>
          <w:sz w:val="22"/>
        </w:rPr>
        <w:t> </w:t>
      </w:r>
      <w:r>
        <w:rPr>
          <w:rFonts w:ascii="Times New Roman" w:hAnsi="Times New Roman"/>
          <w:b w:val="false"/>
          <w:i w:val="false"/>
          <w:color w:val="000000"/>
          <w:sz w:val="22"/>
        </w:rPr>
        <w:t>Decisions to restrict a visitor are reviewed and reevaluated: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time the medical orders are reviewed by the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quarterly by the facility’s staff;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resident’s request.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63.23(4)</w:t>
      </w:r>
      <w:r>
        <w:rPr>
          <w:rFonts w:ascii="Times New Roman" w:hAnsi="Times New Roman"/>
          <w:b w:val="false"/>
          <w:i w:val="false"/>
          <w:color w:val="000000"/>
          <w:sz w:val="22"/>
        </w:rPr>
        <w:t> </w:t>
      </w:r>
      <w:r>
        <w:rPr>
          <w:rFonts w:ascii="Times New Roman" w:hAnsi="Times New Roman"/>
          <w:b w:val="false"/>
          <w:i w:val="false"/>
          <w:color w:val="000000"/>
          <w:sz w:val="22"/>
        </w:rPr>
        <w:t>Space shall be provided for residents to receive visitors in reasonable comfort and privacy.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63.23(5)</w:t>
      </w:r>
      <w:r>
        <w:rPr>
          <w:rFonts w:ascii="Times New Roman" w:hAnsi="Times New Roman"/>
          <w:b w:val="false"/>
          <w:i w:val="false"/>
          <w:color w:val="000000"/>
          <w:sz w:val="22"/>
        </w:rPr>
        <w:t> </w:t>
      </w:r>
      <w:r>
        <w:rPr>
          <w:rFonts w:ascii="Times New Roman" w:hAnsi="Times New Roman"/>
          <w:b w:val="false"/>
          <w:i w:val="false"/>
          <w:color w:val="000000"/>
          <w:sz w:val="22"/>
        </w:rPr>
        <w:t>Telephones shall be available and accessible for residents to make and receive calls with privacy. Residents who need help shall be assisted in using the telephone.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63.23(6)</w:t>
      </w:r>
      <w:r>
        <w:rPr>
          <w:rFonts w:ascii="Times New Roman" w:hAnsi="Times New Roman"/>
          <w:b w:val="false"/>
          <w:i w:val="false"/>
          <w:color w:val="000000"/>
          <w:sz w:val="22"/>
        </w:rPr>
        <w:t> </w:t>
      </w:r>
      <w:r>
        <w:rPr>
          <w:rFonts w:ascii="Times New Roman" w:hAnsi="Times New Roman"/>
          <w:b w:val="false"/>
          <w:i w:val="false"/>
          <w:color w:val="000000"/>
          <w:sz w:val="22"/>
        </w:rPr>
        <w:t>Arrangements shall be made to provide assistance to residents who require help in reading or sending mail.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63.23(7)</w:t>
      </w:r>
      <w:r>
        <w:rPr>
          <w:rFonts w:ascii="Times New Roman" w:hAnsi="Times New Roman"/>
          <w:b w:val="false"/>
          <w:i w:val="false"/>
          <w:color w:val="000000"/>
          <w:sz w:val="22"/>
        </w:rPr>
        <w:t> </w:t>
      </w:r>
      <w:r>
        <w:rPr>
          <w:rFonts w:ascii="Times New Roman" w:hAnsi="Times New Roman"/>
          <w:b w:val="false"/>
          <w:i w:val="false"/>
          <w:color w:val="000000"/>
          <w:sz w:val="22"/>
        </w:rPr>
        <w:t>Residents, including residents court-ordered to the facility, shall be permitted to leave the facility at reasonable times unless there are justifiable reasons established in writing by court order, the primary care provider, the interdisciplinary team, or the facility administrator for refusing permission.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63.23(8)</w:t>
      </w:r>
      <w:r>
        <w:rPr>
          <w:rFonts w:ascii="Times New Roman" w:hAnsi="Times New Roman"/>
          <w:b w:val="false"/>
          <w:i w:val="false"/>
          <w:color w:val="000000"/>
          <w:sz w:val="22"/>
        </w:rPr>
        <w:t> </w:t>
      </w:r>
      <w:r>
        <w:rPr>
          <w:rFonts w:ascii="Times New Roman" w:hAnsi="Times New Roman"/>
          <w:b w:val="false"/>
          <w:i w:val="false"/>
          <w:color w:val="000000"/>
          <w:sz w:val="22"/>
        </w:rPr>
        <w:t>Residents shall not have their personal lives regulated beyond reasonable adherence to meal schedules, bedtime hours, and other written policies which may be necessary for the orderly management of the facility and as required by these rules. However, residents shall be encouraged to participate in recreational programs.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481—63.24</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63.24(1)</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keep reasonable amounts of personal clothing and possessions for their use while in the facility. The facility shall offer the resident the opportunity to have personal property itemized and documented on an inventory sheet upon the resident’s admission. The inventory sheet shall be kept in a safe location which is convenient for the resident to review and update. At discharge, residents may sign off on a list of the personal property they are taking with them.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63.24(2)</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for the safekeeping of personal effects, funds and other property of its residents. The facility may require that items of exceptional value or that would convey unreasonable responsibilities to the licensee be removed from the premises of the facility for safekeeping.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63.24(3)</w:t>
      </w:r>
      <w:r>
        <w:rPr>
          <w:rFonts w:ascii="Times New Roman" w:hAnsi="Times New Roman"/>
          <w:b w:val="false"/>
          <w:i w:val="false"/>
          <w:color w:val="000000"/>
          <w:sz w:val="22"/>
        </w:rPr>
        <w:t> </w:t>
      </w:r>
      <w:r>
        <w:rPr>
          <w:rFonts w:ascii="Times New Roman" w:hAnsi="Times New Roman"/>
          <w:b w:val="false"/>
          <w:i w:val="false"/>
          <w:color w:val="000000"/>
          <w:sz w:val="22"/>
        </w:rPr>
        <w:t>Any funds or other property belonging to or due a resident, or expendable for the resident’s account, which is received by the facility shall be trust funds; shall be kept separate from the funds and property of the facility and of its other residents, or specifically credited to such resident; and shall be used or otherwise expended only for the account of the resident.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481—63.25</w:t>
      </w:r>
      <w:r>
        <w:rPr>
          <w:rFonts w:ascii="Times New Roman" w:hAnsi="Times New Roman"/>
          <w:b/>
          <w:i w:val="false"/>
          <w:color w:val="000000"/>
          <w:sz w:val="22"/>
        </w:rPr>
        <w:t xml:space="preserve">(135C) </w:t>
      </w:r>
      <w:r>
        <w:rPr>
          <w:rFonts w:ascii="Times New Roman" w:hAnsi="Times New Roman"/>
          <w:b/>
          <w:i w:val="false"/>
          <w:color w:val="000000"/>
          <w:sz w:val="22"/>
        </w:rPr>
        <w:t xml:space="preserve">Financial affairs—management. </w:t>
      </w:r>
      <w:r>
        <w:rPr>
          <w:rFonts w:ascii="Times New Roman" w:hAnsi="Times New Roman"/>
          <w:b w:val="false"/>
          <w:i w:val="false"/>
          <w:color w:val="000000"/>
          <w:sz w:val="22"/>
        </w:rPr>
        <w:t xml:space="preserve">Each resident who has not been assigned a guardian or conservator by the court may manage the resident’s own personal financial affairs. To the extent the facility assists in management, under written authorization by the resident, the management shall be carried out in accordance with Iowa Code section </w:t>
      </w:r>
      <w:hyperlink r:id="rId45">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63.25(1)</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a written account of all residents’ funds received by or deposited with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63.25(2)</w:t>
      </w:r>
      <w:r>
        <w:rPr>
          <w:rFonts w:ascii="Times New Roman" w:hAnsi="Times New Roman"/>
          <w:b w:val="false"/>
          <w:i w:val="false"/>
          <w:color w:val="000000"/>
          <w:sz w:val="22"/>
        </w:rPr>
        <w:t> </w:t>
      </w:r>
      <w:r>
        <w:rPr>
          <w:rFonts w:ascii="Times New Roman" w:hAnsi="Times New Roman"/>
          <w:b w:val="false"/>
          <w:i w:val="false"/>
          <w:color w:val="000000"/>
          <w:sz w:val="22"/>
        </w:rPr>
        <w:t>An employee shall be designated in writing to be responsible for resident accounts.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keep on deposit personal funds over which the resident has control in accordance with Iowa Code section </w:t>
      </w:r>
      <w:hyperlink r:id="rId46">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Should the resident request these funds, they shall be given to the resident on request with receipts maintained by the facility and a copy to the resident. In the case of a resident with impaired decision-making skills, the resident’s legal representative shall designate a method of disbursing the resident’s funds.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63.25(4)</w:t>
      </w:r>
      <w:r>
        <w:rPr>
          <w:rFonts w:ascii="Times New Roman" w:hAnsi="Times New Roman"/>
          <w:b w:val="false"/>
          <w:i w:val="false"/>
          <w:color w:val="000000"/>
          <w:sz w:val="22"/>
        </w:rPr>
        <w:t> </w:t>
      </w:r>
      <w:r>
        <w:rPr>
          <w:rFonts w:ascii="Times New Roman" w:hAnsi="Times New Roman"/>
          <w:b w:val="false"/>
          <w:i w:val="false"/>
          <w:color w:val="000000"/>
          <w:sz w:val="22"/>
        </w:rPr>
        <w:t>If the facility makes financial transactions on a resident’s behalf, the facility must document that it has prepared and sent an itemized accounting of disbursements and current balances at least quarterly. A copy of this statement shall be maintained in the resident’s financial or business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63.25(5)</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shall not be used without the written consent of the resident or the resident’s legal representative.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63.25(6)</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shall be returned to the resident when the funds have been used without the written consent of the resident or the resident’s legal representative. The department may report findings that resident funds have been used without written consent to the department’s investigations division or to the local law enforcement agency, as appropriate.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481—63.26</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work. </w:t>
      </w:r>
      <w:r>
        <w:rPr>
          <w:rFonts w:ascii="Times New Roman" w:hAnsi="Times New Roman"/>
          <w:b w:val="false"/>
          <w:i w:val="false"/>
          <w:color w:val="000000"/>
          <w:sz w:val="22"/>
        </w:rPr>
        <w:t xml:space="preserve">No resident may be required to perform services for the facility, except as provided by Iowa Code section </w:t>
      </w:r>
      <w:hyperlink r:id="rId47">
        <w:r>
          <w:rPr>
            <w:rStyle w:val="Hyperlink"/>
            <w:rFonts w:ascii="Times New Roman" w:hAnsi="Times New Roman"/>
            <w:b w:val="false"/>
            <w:i w:val="false"/>
            <w:color w:val="000000"/>
            <w:sz w:val="22"/>
          </w:rPr>
          <w:t>347B.5</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63.26(1)</w:t>
      </w:r>
      <w:r>
        <w:rPr>
          <w:rFonts w:ascii="Times New Roman" w:hAnsi="Times New Roman"/>
          <w:b w:val="false"/>
          <w:i w:val="false"/>
          <w:color w:val="000000"/>
          <w:sz w:val="22"/>
        </w:rPr>
        <w:t> </w:t>
      </w:r>
      <w:r>
        <w:rPr>
          <w:rFonts w:ascii="Times New Roman" w:hAnsi="Times New Roman"/>
          <w:b w:val="false"/>
          <w:i w:val="false"/>
          <w:color w:val="000000"/>
          <w:sz w:val="22"/>
        </w:rPr>
        <w:t>Residents may not be used to provide a source of labor for the facility against their will. Approval by the primary care provider or physiatrist is required for all work programs.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63.26(2)</w:t>
      </w:r>
      <w:r>
        <w:rPr>
          <w:rFonts w:ascii="Times New Roman" w:hAnsi="Times New Roman"/>
          <w:b w:val="false"/>
          <w:i w:val="false"/>
          <w:color w:val="000000"/>
          <w:sz w:val="22"/>
        </w:rPr>
        <w:t> </w:t>
      </w:r>
      <w:r>
        <w:rPr>
          <w:rFonts w:ascii="Times New Roman" w:hAnsi="Times New Roman"/>
          <w:b w:val="false"/>
          <w:i w:val="false"/>
          <w:color w:val="000000"/>
          <w:sz w:val="22"/>
        </w:rPr>
        <w:t>Residents who perform work for the facility must receive compensation unless the work is part of their approved training program. Persons on the resident census who perform work shall not be used to replace paid employees in fulfilling staffing requirements.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481—63.27</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abuse prohibited. </w:t>
      </w:r>
      <w:r>
        <w:rPr>
          <w:rFonts w:ascii="Times New Roman" w:hAnsi="Times New Roman"/>
          <w:b w:val="false"/>
          <w:i w:val="false"/>
          <w:color w:val="000000"/>
          <w:sz w:val="22"/>
        </w:rPr>
        <w:t>Each resident shall receive kind and considerate care at all times and shall be free from mental, physical, sexual, and verbal abuse, exploitation, neglect, and physical injury.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63.27(1)</w:t>
      </w:r>
      <w:r>
        <w:rPr>
          <w:rFonts w:ascii="Times New Roman" w:hAnsi="Times New Roman"/>
          <w:b w:val="false"/>
          <w:i w:val="false"/>
          <w:color w:val="000000"/>
          <w:sz w:val="22"/>
        </w:rPr>
        <w:t> </w:t>
      </w:r>
      <w:r>
        <w:rPr>
          <w:rFonts w:ascii="Times New Roman" w:hAnsi="Times New Roman"/>
          <w:b w:val="false"/>
          <w:i w:val="false"/>
          <w:color w:val="000000"/>
          <w:sz w:val="22"/>
        </w:rPr>
        <w:t>Mental abuse includes, but is not limited to, humiliation, harassment, and threats of punishment or deprivation.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63.27(2)</w:t>
      </w:r>
      <w:r>
        <w:rPr>
          <w:rFonts w:ascii="Times New Roman" w:hAnsi="Times New Roman"/>
          <w:b w:val="false"/>
          <w:i w:val="false"/>
          <w:color w:val="000000"/>
          <w:sz w:val="22"/>
        </w:rPr>
        <w:t> </w:t>
      </w:r>
      <w:r>
        <w:rPr>
          <w:rFonts w:ascii="Times New Roman" w:hAnsi="Times New Roman"/>
          <w:b w:val="false"/>
          <w:i w:val="false"/>
          <w:color w:val="000000"/>
          <w:sz w:val="22"/>
        </w:rPr>
        <w:t>Physical abuse includes, but is not limited to, corporal punishment and the use of restraints as punishment.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63.27(3)</w:t>
      </w:r>
      <w:r>
        <w:rPr>
          <w:rFonts w:ascii="Times New Roman" w:hAnsi="Times New Roman"/>
          <w:b w:val="false"/>
          <w:i w:val="false"/>
          <w:color w:val="000000"/>
          <w:sz w:val="22"/>
        </w:rPr>
        <w:t> </w:t>
      </w:r>
      <w:r>
        <w:rPr>
          <w:rFonts w:ascii="Times New Roman" w:hAnsi="Times New Roman"/>
          <w:b w:val="false"/>
          <w:i w:val="false"/>
          <w:color w:val="000000"/>
          <w:sz w:val="22"/>
        </w:rPr>
        <w:t>Drugs such as tranquilizers shall only be used in accordance with orders of the primary care provider.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63.27(4)</w:t>
      </w:r>
      <w:r>
        <w:rPr>
          <w:rFonts w:ascii="Times New Roman" w:hAnsi="Times New Roman"/>
          <w:b w:val="false"/>
          <w:i w:val="false"/>
          <w:color w:val="000000"/>
          <w:sz w:val="22"/>
        </w:rPr>
        <w:t> </w:t>
      </w:r>
      <w:r>
        <w:rPr>
          <w:rFonts w:ascii="Times New Roman" w:hAnsi="Times New Roman"/>
          <w:b w:val="false"/>
          <w:i w:val="false"/>
          <w:color w:val="000000"/>
          <w:sz w:val="22"/>
        </w:rPr>
        <w:t xml:space="preserve">Allegations of dependent adult abuse. Allegations of dependent adult abuse shall be reported and investigated pursuant to Iowa Code chapter </w:t>
      </w:r>
      <w:hyperlink r:id="rId48">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481—Chapter 52</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63.27(5)</w:t>
      </w:r>
      <w:r>
        <w:rPr>
          <w:rFonts w:ascii="Times New Roman" w:hAnsi="Times New Roman"/>
          <w:b w:val="false"/>
          <w:i w:val="false"/>
          <w:color w:val="000000"/>
          <w:sz w:val="22"/>
        </w:rPr>
        <w:t> </w:t>
      </w:r>
      <w:r>
        <w:rPr>
          <w:rFonts w:ascii="Times New Roman" w:hAnsi="Times New Roman"/>
          <w:b w:val="false"/>
          <w:i w:val="false"/>
          <w:color w:val="000000"/>
          <w:sz w:val="22"/>
        </w:rPr>
        <w:t xml:space="preserve">Staff shall receive training relating to the identification and reporting of dependent adult abuse as required by Iowa Code section </w:t>
      </w:r>
      <w:hyperlink r:id="rId50">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481—63.28</w:t>
      </w:r>
      <w:r>
        <w:rPr>
          <w:rFonts w:ascii="Times New Roman" w:hAnsi="Times New Roman"/>
          <w:b/>
          <w:i w:val="false"/>
          <w:color w:val="000000"/>
          <w:sz w:val="22"/>
        </w:rPr>
        <w:t xml:space="preserve">(135C) </w:t>
      </w:r>
      <w:r>
        <w:rPr>
          <w:rFonts w:ascii="Times New Roman" w:hAnsi="Times New Roman"/>
          <w:b/>
          <w:i w:val="false"/>
          <w:color w:val="000000"/>
          <w:sz w:val="22"/>
        </w:rPr>
        <w:t xml:space="preserve">Crisis intervention. </w:t>
      </w:r>
      <w:r>
        <w:rPr>
          <w:rFonts w:ascii="Times New Roman" w:hAnsi="Times New Roman"/>
          <w:b w:val="false"/>
          <w:i w:val="false"/>
          <w:color w:val="000000"/>
          <w:sz w:val="22"/>
        </w:rPr>
        <w:t>If a facility utilizes physical restraints, the facility shall have written policies that define the uses of physical restraints, designate the administrator or designee as the person who may authorize their use, establish a mechanism for monitoring and controlling their use, and provide staff with proper training.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63.28(1)</w:t>
      </w:r>
      <w:r>
        <w:rPr>
          <w:rFonts w:ascii="Times New Roman" w:hAnsi="Times New Roman"/>
          <w:b w:val="false"/>
          <w:i w:val="false"/>
          <w:color w:val="000000"/>
          <w:sz w:val="22"/>
        </w:rPr>
        <w:t> </w:t>
      </w:r>
      <w:r>
        <w:rPr>
          <w:rFonts w:ascii="Times New Roman" w:hAnsi="Times New Roman"/>
          <w:b w:val="false"/>
          <w:i w:val="false"/>
          <w:color w:val="000000"/>
          <w:sz w:val="22"/>
        </w:rPr>
        <w:t>Temporary physical restraint of residents shall be used only under the following conditions: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to prevent injury to the resident or to others; or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crisis intervention, but shall not be used for punishment, for the convenience of staff or as a substitution for supervision or programming; (I, 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staff person shall use any restraint that obstructs the airway of the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63.28(2)</w:t>
      </w:r>
      <w:r>
        <w:rPr>
          <w:rFonts w:ascii="Times New Roman" w:hAnsi="Times New Roman"/>
          <w:b w:val="false"/>
          <w:i w:val="false"/>
          <w:color w:val="000000"/>
          <w:sz w:val="22"/>
        </w:rPr>
        <w:t> </w:t>
      </w:r>
      <w:r>
        <w:rPr>
          <w:rFonts w:ascii="Times New Roman" w:hAnsi="Times New Roman"/>
          <w:b w:val="false"/>
          <w:i w:val="false"/>
          <w:color w:val="000000"/>
          <w:sz w:val="22"/>
        </w:rPr>
        <w:t>Authorization for the use of physical restraints must be prior to or immediately after application of the restraint.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63.28(3)</w:t>
      </w:r>
      <w:r>
        <w:rPr>
          <w:rFonts w:ascii="Times New Roman" w:hAnsi="Times New Roman"/>
          <w:b w:val="false"/>
          <w:i w:val="false"/>
          <w:color w:val="000000"/>
          <w:sz w:val="22"/>
        </w:rPr>
        <w:t> </w:t>
      </w:r>
      <w:r>
        <w:rPr>
          <w:rFonts w:ascii="Times New Roman" w:hAnsi="Times New Roman"/>
          <w:b w:val="false"/>
          <w:i w:val="false"/>
          <w:color w:val="000000"/>
          <w:sz w:val="22"/>
        </w:rPr>
        <w:t>Prone restraint is prohibited. Staff persons who find themselves involved in the use of a prone restraint when responding to an emergency must take immediate steps to end the prone restraint.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63.28(4)</w:t>
      </w:r>
      <w:r>
        <w:rPr>
          <w:rFonts w:ascii="Times New Roman" w:hAnsi="Times New Roman"/>
          <w:b w:val="false"/>
          <w:i w:val="false"/>
          <w:color w:val="000000"/>
          <w:sz w:val="22"/>
        </w:rPr>
        <w:t> </w:t>
      </w:r>
      <w:r>
        <w:rPr>
          <w:rFonts w:ascii="Times New Roman" w:hAnsi="Times New Roman"/>
          <w:b w:val="false"/>
          <w:i w:val="false"/>
          <w:color w:val="000000"/>
          <w:sz w:val="22"/>
        </w:rPr>
        <w:t>The rationale and authorization for the use of physical restraint and staff action and procedures carried out to protect the resident’s rights and to ensure safety shall be clearly set forth in the resident’s record by the responsible staff persons.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63.28(5)</w:t>
      </w:r>
      <w:r>
        <w:rPr>
          <w:rFonts w:ascii="Times New Roman" w:hAnsi="Times New Roman"/>
          <w:b w:val="false"/>
          <w:i w:val="false"/>
          <w:color w:val="000000"/>
          <w:sz w:val="22"/>
        </w:rPr>
        <w:t> </w:t>
      </w:r>
      <w:r>
        <w:rPr>
          <w:rFonts w:ascii="Times New Roman" w:hAnsi="Times New Roman"/>
          <w:b w:val="false"/>
          <w:i w:val="false"/>
          <w:color w:val="000000"/>
          <w:sz w:val="22"/>
        </w:rPr>
        <w:t>The primary care provider, the interdisciplinary team and the resident’s responsible party shall be notified of any restraints administered.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63.28(6)</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to the staff a department-approved training program by qualified professionals on physical restraint techniques.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keep a record of training for review by the department and shall include attendance.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staff with documented training in physical restraint and techniques shall be authorized to assist with physical restraint of a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a resident be allowed to actively or passively assist in the restraint of another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63.28(7)</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kept behind locked doors.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63.28(8)</w:t>
      </w:r>
      <w:r>
        <w:rPr>
          <w:rFonts w:ascii="Times New Roman" w:hAnsi="Times New Roman"/>
          <w:b w:val="false"/>
          <w:i w:val="false"/>
          <w:color w:val="000000"/>
          <w:sz w:val="22"/>
        </w:rPr>
        <w:t> </w:t>
      </w:r>
      <w:r>
        <w:rPr>
          <w:rFonts w:ascii="Times New Roman" w:hAnsi="Times New Roman"/>
          <w:b w:val="false"/>
          <w:i w:val="false"/>
          <w:color w:val="000000"/>
          <w:sz w:val="22"/>
        </w:rPr>
        <w:t>Mechanical restraint is prohibited. Staff persons who find themselves involved in the use of a mechanical restraint when responding to an emergency must take immediate steps to end the mechanical restraint. (I,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481—63.29</w:t>
      </w:r>
      <w:r>
        <w:rPr>
          <w:rFonts w:ascii="Times New Roman" w:hAnsi="Times New Roman"/>
          <w:b/>
          <w:i w:val="false"/>
          <w:color w:val="000000"/>
          <w:sz w:val="22"/>
        </w:rPr>
        <w:t xml:space="preserve">(135C) </w:t>
      </w:r>
      <w:r>
        <w:rPr>
          <w:rFonts w:ascii="Times New Roman" w:hAnsi="Times New Roman"/>
          <w:b/>
          <w:i w:val="false"/>
          <w:color w:val="000000"/>
          <w:sz w:val="22"/>
        </w:rPr>
        <w:t xml:space="preserve">Safety. </w:t>
      </w:r>
      <w:r>
        <w:rPr>
          <w:rFonts w:ascii="Times New Roman" w:hAnsi="Times New Roman"/>
          <w:b w:val="false"/>
          <w:i w:val="false"/>
          <w:color w:val="000000"/>
          <w:sz w:val="22"/>
        </w:rPr>
        <w:t>The licensee of a residential care facility shall be responsible for the provision and maintenance of a safe environment for residents and personnel.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63.29(1)</w:t>
      </w:r>
      <w:r>
        <w:rPr>
          <w:rFonts w:ascii="Times New Roman" w:hAnsi="Times New Roman"/>
          <w:b w:val="false"/>
          <w:i w:val="false"/>
          <w:color w:val="000000"/>
          <w:sz w:val="22"/>
        </w:rPr>
        <w:t> </w:t>
      </w:r>
      <w:r>
        <w:rPr>
          <w:rFonts w:ascii="Times New Roman" w:hAnsi="Times New Roman"/>
          <w:b w:val="false"/>
          <w:i/>
          <w:color w:val="000000"/>
          <w:sz w:val="22"/>
        </w:rPr>
        <w:t xml:space="preserve">Fire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residential care facilities shall meet the fire safety rules and regulations as promulgated by the state fire marshal.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size of the facility and needs of the residents shall be taken into consideration in evaluating safety precautions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63.29(2)</w:t>
      </w:r>
      <w:r>
        <w:rPr>
          <w:rFonts w:ascii="Times New Roman" w:hAnsi="Times New Roman"/>
          <w:b w:val="false"/>
          <w:i w:val="false"/>
          <w:color w:val="000000"/>
          <w:sz w:val="22"/>
        </w:rPr>
        <w:t> </w:t>
      </w:r>
      <w:r>
        <w:rPr>
          <w:rFonts w:ascii="Times New Roman" w:hAnsi="Times New Roman"/>
          <w:b w:val="false"/>
          <w:i/>
          <w:color w:val="000000"/>
          <w:sz w:val="22"/>
        </w:rPr>
        <w:t xml:space="preserve">Safety duties of administrator. </w:t>
      </w:r>
      <w:r>
        <w:rPr>
          <w:rFonts w:ascii="Times New Roman" w:hAnsi="Times New Roman"/>
          <w:b w:val="false"/>
          <w:i w:val="false"/>
          <w:color w:val="000000"/>
          <w:sz w:val="22"/>
        </w:rPr>
        <w:t>The administrator shall have a written emergency plan to be followed in the event of fire, tornado, explosion, or other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 shall be prominently posted in a common area of the building.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In-service shall be provided to ensure that all employees are knowledgeable of the emergency plan.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63.29(3)</w:t>
      </w:r>
      <w:r>
        <w:rPr>
          <w:rFonts w:ascii="Times New Roman" w:hAnsi="Times New Roman"/>
          <w:b w:val="false"/>
          <w:i w:val="false"/>
          <w:color w:val="000000"/>
          <w:sz w:val="22"/>
        </w:rPr>
        <w:t> </w:t>
      </w:r>
      <w:r>
        <w:rPr>
          <w:rFonts w:ascii="Times New Roman" w:hAnsi="Times New Roman"/>
          <w:b w:val="false"/>
          <w:i/>
          <w:color w:val="000000"/>
          <w:sz w:val="22"/>
        </w:rPr>
        <w:t xml:space="preserve">Resident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Smoking shall be prohibited, except as allowed by Iowa Code chapter </w:t>
      </w:r>
      <w:hyperlink r:id="rId51">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the smokefree air Act.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full or empty tanks of oxygen are being used or stored, they shall be securely supported in an upright position.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Residents shall receive adequate supervision to ensure against hazard from themselves, others, or elements in the environment.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Storage areas for cleaning agents, bleaches, insecticides, or any other poisonous, dangerous, or flammable materials shall be locked. Residents permitted to access these materials shall have an order by their primary care provider stating the resident is able to utilize such materials, and staff shall supervise the residents as identified in the resident’s service plan.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Sufficient numbers of noncombustible trash containers with covers shall be available.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Residents’ personal possessions that may constitute a hazard to residents or others shall be removed and stored.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63.29(4)</w:t>
      </w:r>
      <w:r>
        <w:rPr>
          <w:rFonts w:ascii="Times New Roman" w:hAnsi="Times New Roman"/>
          <w:b w:val="false"/>
          <w:i w:val="false"/>
          <w:color w:val="000000"/>
          <w:sz w:val="22"/>
        </w:rPr>
        <w:t> </w:t>
      </w:r>
      <w:r>
        <w:rPr>
          <w:rFonts w:ascii="Times New Roman" w:hAnsi="Times New Roman"/>
          <w:b w:val="false"/>
          <w:i/>
          <w:color w:val="000000"/>
          <w:sz w:val="22"/>
        </w:rPr>
        <w:t xml:space="preserve">First-aid kit. </w:t>
      </w:r>
      <w:r>
        <w:rPr>
          <w:rFonts w:ascii="Times New Roman" w:hAnsi="Times New Roman"/>
          <w:b w:val="false"/>
          <w:i w:val="false"/>
          <w:color w:val="000000"/>
          <w:sz w:val="22"/>
        </w:rPr>
        <w:t>A first-aid emergency kit shall be available on each floor in every facility.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481—63.30</w:t>
      </w:r>
      <w:r>
        <w:rPr>
          <w:rFonts w:ascii="Times New Roman" w:hAnsi="Times New Roman"/>
          <w:b/>
          <w:i w:val="false"/>
          <w:color w:val="000000"/>
          <w:sz w:val="22"/>
        </w:rPr>
        <w:t xml:space="preserve">(135C) </w:t>
      </w:r>
      <w:r>
        <w:rPr>
          <w:rFonts w:ascii="Times New Roman" w:hAnsi="Times New Roman"/>
          <w:b/>
          <w:i w:val="false"/>
          <w:color w:val="000000"/>
          <w:sz w:val="22"/>
        </w:rPr>
        <w:t xml:space="preserve">Housekeeping.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63.30(1)</w:t>
      </w:r>
      <w:r>
        <w:rPr>
          <w:rFonts w:ascii="Times New Roman" w:hAnsi="Times New Roman"/>
          <w:b w:val="false"/>
          <w:i w:val="false"/>
          <w:color w:val="000000"/>
          <w:sz w:val="22"/>
        </w:rPr>
        <w:t> </w:t>
      </w:r>
      <w:r>
        <w:rPr>
          <w:rFonts w:ascii="Times New Roman" w:hAnsi="Times New Roman"/>
          <w:b w:val="false"/>
          <w:i w:val="false"/>
          <w:color w:val="000000"/>
          <w:sz w:val="22"/>
        </w:rPr>
        <w:t>Each resident room shall be cleaned on a routine schedule.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63.30(2)</w:t>
      </w:r>
      <w:r>
        <w:rPr>
          <w:rFonts w:ascii="Times New Roman" w:hAnsi="Times New Roman"/>
          <w:b w:val="false"/>
          <w:i w:val="false"/>
          <w:color w:val="000000"/>
          <w:sz w:val="22"/>
        </w:rPr>
        <w:t> </w:t>
      </w:r>
      <w:r>
        <w:rPr>
          <w:rFonts w:ascii="Times New Roman" w:hAnsi="Times New Roman"/>
          <w:b w:val="false"/>
          <w:i w:val="false"/>
          <w:color w:val="000000"/>
          <w:sz w:val="22"/>
        </w:rPr>
        <w:t>All rooms, corridors, storage areas, linen closets, attics, and basements shall be kept in a clean, orderly condition, free of unserviceable furniture and equipment and accumulations of refuse.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63.30(3)</w:t>
      </w:r>
      <w:r>
        <w:rPr>
          <w:rFonts w:ascii="Times New Roman" w:hAnsi="Times New Roman"/>
          <w:b w:val="false"/>
          <w:i w:val="false"/>
          <w:color w:val="000000"/>
          <w:sz w:val="22"/>
        </w:rPr>
        <w:t> </w:t>
      </w:r>
      <w:r>
        <w:rPr>
          <w:rFonts w:ascii="Times New Roman" w:hAnsi="Times New Roman"/>
          <w:b w:val="false"/>
          <w:i w:val="false"/>
          <w:color w:val="000000"/>
          <w:sz w:val="22"/>
        </w:rPr>
        <w:t>A hallway or corridor shall not be used for storage of equipment.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63.30(4)</w:t>
      </w:r>
      <w:r>
        <w:rPr>
          <w:rFonts w:ascii="Times New Roman" w:hAnsi="Times New Roman"/>
          <w:b w:val="false"/>
          <w:i w:val="false"/>
          <w:color w:val="000000"/>
          <w:sz w:val="22"/>
        </w:rPr>
        <w:t> </w:t>
      </w:r>
      <w:r>
        <w:rPr>
          <w:rFonts w:ascii="Times New Roman" w:hAnsi="Times New Roman"/>
          <w:b w:val="false"/>
          <w:i w:val="false"/>
          <w:color w:val="000000"/>
          <w:sz w:val="22"/>
        </w:rPr>
        <w:t>All odors shall be kept under control by cleanliness and proper ventilation.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63.30(5)</w:t>
      </w:r>
      <w:r>
        <w:rPr>
          <w:rFonts w:ascii="Times New Roman" w:hAnsi="Times New Roman"/>
          <w:b w:val="false"/>
          <w:i w:val="false"/>
          <w:color w:val="000000"/>
          <w:sz w:val="22"/>
        </w:rPr>
        <w:t> </w:t>
      </w:r>
      <w:r>
        <w:rPr>
          <w:rFonts w:ascii="Times New Roman" w:hAnsi="Times New Roman"/>
          <w:b w:val="false"/>
          <w:i w:val="false"/>
          <w:color w:val="000000"/>
          <w:sz w:val="22"/>
        </w:rPr>
        <w:t>Clothing worn by personnel shall be clean and washable.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63.30(6)</w:t>
      </w:r>
      <w:r>
        <w:rPr>
          <w:rFonts w:ascii="Times New Roman" w:hAnsi="Times New Roman"/>
          <w:b w:val="false"/>
          <w:i w:val="false"/>
          <w:color w:val="000000"/>
          <w:sz w:val="22"/>
        </w:rPr>
        <w:t> </w:t>
      </w:r>
      <w:r>
        <w:rPr>
          <w:rFonts w:ascii="Times New Roman" w:hAnsi="Times New Roman"/>
          <w:b w:val="false"/>
          <w:i w:val="false"/>
          <w:color w:val="000000"/>
          <w:sz w:val="22"/>
        </w:rPr>
        <w:t>All furniture, bedding, linens, and equipment shall be cleaned periodically and before use by another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63.30(7)</w:t>
      </w:r>
      <w:r>
        <w:rPr>
          <w:rFonts w:ascii="Times New Roman" w:hAnsi="Times New Roman"/>
          <w:b w:val="false"/>
          <w:i w:val="false"/>
          <w:color w:val="000000"/>
          <w:sz w:val="22"/>
        </w:rPr>
        <w:t> </w:t>
      </w:r>
      <w:r>
        <w:rPr>
          <w:rFonts w:ascii="Times New Roman" w:hAnsi="Times New Roman"/>
          <w:b w:val="false"/>
          <w:i w:val="false"/>
          <w:color w:val="000000"/>
          <w:sz w:val="22"/>
        </w:rPr>
        <w:t>Polishes used on floors shall provide a nonslip finish.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63.30(8)</w:t>
      </w:r>
      <w:r>
        <w:rPr>
          <w:rFonts w:ascii="Times New Roman" w:hAnsi="Times New Roman"/>
          <w:b w:val="false"/>
          <w:i w:val="false"/>
          <w:color w:val="000000"/>
          <w:sz w:val="22"/>
        </w:rPr>
        <w:t> </w:t>
      </w:r>
      <w:r>
        <w:rPr>
          <w:rFonts w:ascii="Times New Roman" w:hAnsi="Times New Roman"/>
          <w:b w:val="false"/>
          <w:i w:val="false"/>
          <w:color w:val="000000"/>
          <w:sz w:val="22"/>
        </w:rPr>
        <w:t>Throw or scatter rugs shall have nonskid backing.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63.30(9)</w:t>
      </w:r>
      <w:r>
        <w:rPr>
          <w:rFonts w:ascii="Times New Roman" w:hAnsi="Times New Roman"/>
          <w:b w:val="false"/>
          <w:i w:val="false"/>
          <w:color w:val="000000"/>
          <w:sz w:val="22"/>
        </w:rPr>
        <w:t> </w:t>
      </w:r>
      <w:r>
        <w:rPr>
          <w:rFonts w:ascii="Times New Roman" w:hAnsi="Times New Roman"/>
          <w:b w:val="false"/>
          <w:i w:val="false"/>
          <w:color w:val="000000"/>
          <w:sz w:val="22"/>
        </w:rPr>
        <w:t>Entrances, exits, steps, and outside walkways shall be kept free from ice, snow, and other hazards.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481—63.31</w:t>
      </w:r>
      <w:r>
        <w:rPr>
          <w:rFonts w:ascii="Times New Roman" w:hAnsi="Times New Roman"/>
          <w:b/>
          <w:i w:val="false"/>
          <w:color w:val="000000"/>
          <w:sz w:val="22"/>
        </w:rPr>
        <w:t xml:space="preserve">(135C) </w:t>
      </w:r>
      <w:r>
        <w:rPr>
          <w:rFonts w:ascii="Times New Roman" w:hAnsi="Times New Roman"/>
          <w:b/>
          <w:i w:val="false"/>
          <w:color w:val="000000"/>
          <w:sz w:val="22"/>
        </w:rPr>
        <w:t xml:space="preserve">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63.31(1)</w:t>
      </w:r>
      <w:r>
        <w:rPr>
          <w:rFonts w:ascii="Times New Roman" w:hAnsi="Times New Roman"/>
          <w:b w:val="false"/>
          <w:i w:val="false"/>
          <w:color w:val="000000"/>
          <w:sz w:val="22"/>
        </w:rPr>
        <w:t> </w:t>
      </w:r>
      <w:r>
        <w:rPr>
          <w:rFonts w:ascii="Times New Roman" w:hAnsi="Times New Roman"/>
          <w:b w:val="false"/>
          <w:i w:val="false"/>
          <w:color w:val="000000"/>
          <w:sz w:val="22"/>
        </w:rPr>
        <w:t>The building, grounds, and other buildings shall be maintained in a clean, orderly condition and in good repair.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63.31(2)</w:t>
      </w:r>
      <w:r>
        <w:rPr>
          <w:rFonts w:ascii="Times New Roman" w:hAnsi="Times New Roman"/>
          <w:b w:val="false"/>
          <w:i w:val="false"/>
          <w:color w:val="000000"/>
          <w:sz w:val="22"/>
        </w:rPr>
        <w:t> </w:t>
      </w:r>
      <w:r>
        <w:rPr>
          <w:rFonts w:ascii="Times New Roman" w:hAnsi="Times New Roman"/>
          <w:b w:val="false"/>
          <w:i w:val="false"/>
          <w:color w:val="000000"/>
          <w:sz w:val="22"/>
        </w:rPr>
        <w:t>Window treatments and furniture shall be clean and in good repair.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63.31(3)</w:t>
      </w:r>
      <w:r>
        <w:rPr>
          <w:rFonts w:ascii="Times New Roman" w:hAnsi="Times New Roman"/>
          <w:b w:val="false"/>
          <w:i w:val="false"/>
          <w:color w:val="000000"/>
          <w:sz w:val="22"/>
        </w:rPr>
        <w:t> </w:t>
      </w:r>
      <w:r>
        <w:rPr>
          <w:rFonts w:ascii="Times New Roman" w:hAnsi="Times New Roman"/>
          <w:b w:val="false"/>
          <w:i w:val="false"/>
          <w:color w:val="000000"/>
          <w:sz w:val="22"/>
        </w:rPr>
        <w:t>Cracks in plaster, peeling wallpaper or paint, and tears or splits in floor coverings shall be promptly repaired or replaced in a professional manner.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63.31(4)</w:t>
      </w:r>
      <w:r>
        <w:rPr>
          <w:rFonts w:ascii="Times New Roman" w:hAnsi="Times New Roman"/>
          <w:b w:val="false"/>
          <w:i w:val="false"/>
          <w:color w:val="000000"/>
          <w:sz w:val="22"/>
        </w:rPr>
        <w:t> </w:t>
      </w:r>
      <w:r>
        <w:rPr>
          <w:rFonts w:ascii="Times New Roman" w:hAnsi="Times New Roman"/>
          <w:b w:val="false"/>
          <w:i w:val="false"/>
          <w:color w:val="000000"/>
          <w:sz w:val="22"/>
        </w:rPr>
        <w:t>The electrical systems, including appliances, cords, and switches, shall be maintained to guarantee safe functioning and comply with the National Electric Code.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63.31(5)</w:t>
      </w:r>
      <w:r>
        <w:rPr>
          <w:rFonts w:ascii="Times New Roman" w:hAnsi="Times New Roman"/>
          <w:b w:val="false"/>
          <w:i w:val="false"/>
          <w:color w:val="000000"/>
          <w:sz w:val="22"/>
        </w:rPr>
        <w:t> </w:t>
      </w:r>
      <w:r>
        <w:rPr>
          <w:rFonts w:ascii="Times New Roman" w:hAnsi="Times New Roman"/>
          <w:b w:val="false"/>
          <w:i w:val="false"/>
          <w:color w:val="000000"/>
          <w:sz w:val="22"/>
        </w:rPr>
        <w:t>All plumbing fixtures shall function properly and comply with the state plumbing code.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63.31(6)</w:t>
      </w:r>
      <w:r>
        <w:rPr>
          <w:rFonts w:ascii="Times New Roman" w:hAnsi="Times New Roman"/>
          <w:b w:val="false"/>
          <w:i w:val="false"/>
          <w:color w:val="000000"/>
          <w:sz w:val="22"/>
        </w:rPr>
        <w:t> </w:t>
      </w:r>
      <w:r>
        <w:rPr>
          <w:rFonts w:ascii="Times New Roman" w:hAnsi="Times New Roman"/>
          <w:b w:val="false"/>
          <w:i w:val="false"/>
          <w:color w:val="000000"/>
          <w:sz w:val="22"/>
        </w:rPr>
        <w:t>Yearly inspections of the heating and cooling systems shall be made to guarantee safe operation.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63.31(7)</w:t>
      </w:r>
      <w:r>
        <w:rPr>
          <w:rFonts w:ascii="Times New Roman" w:hAnsi="Times New Roman"/>
          <w:b w:val="false"/>
          <w:i w:val="false"/>
          <w:color w:val="000000"/>
          <w:sz w:val="22"/>
        </w:rPr>
        <w:t> </w:t>
      </w:r>
      <w:r>
        <w:rPr>
          <w:rFonts w:ascii="Times New Roman" w:hAnsi="Times New Roman"/>
          <w:b w:val="false"/>
          <w:i w:val="false"/>
          <w:color w:val="000000"/>
          <w:sz w:val="22"/>
        </w:rPr>
        <w:t>The building, grounds, and other buildings shall be kept free of breeding areas for flies, other insects, and rodents.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63.31(8)</w:t>
      </w:r>
      <w:r>
        <w:rPr>
          <w:rFonts w:ascii="Times New Roman" w:hAnsi="Times New Roman"/>
          <w:b w:val="false"/>
          <w:i w:val="false"/>
          <w:color w:val="000000"/>
          <w:sz w:val="22"/>
        </w:rPr>
        <w:t> </w:t>
      </w:r>
      <w:r>
        <w:rPr>
          <w:rFonts w:ascii="Times New Roman" w:hAnsi="Times New Roman"/>
          <w:b w:val="false"/>
          <w:i w:val="false"/>
          <w:color w:val="000000"/>
          <w:sz w:val="22"/>
        </w:rPr>
        <w:t>The facility shall be kept free of flies, other insects, and rodents.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481—63.32</w:t>
      </w:r>
      <w:r>
        <w:rPr>
          <w:rFonts w:ascii="Times New Roman" w:hAnsi="Times New Roman"/>
          <w:b/>
          <w:i w:val="false"/>
          <w:color w:val="000000"/>
          <w:sz w:val="22"/>
        </w:rPr>
        <w:t xml:space="preserve">(135C) </w:t>
      </w:r>
      <w:r>
        <w:rPr>
          <w:rFonts w:ascii="Times New Roman" w:hAnsi="Times New Roman"/>
          <w:b/>
          <w:i w:val="false"/>
          <w:color w:val="000000"/>
          <w:sz w:val="22"/>
        </w:rPr>
        <w:t xml:space="preserve">Laundry.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63.32(1)</w:t>
      </w:r>
      <w:r>
        <w:rPr>
          <w:rFonts w:ascii="Times New Roman" w:hAnsi="Times New Roman"/>
          <w:b w:val="false"/>
          <w:i w:val="false"/>
          <w:color w:val="000000"/>
          <w:sz w:val="22"/>
        </w:rPr>
        <w:t> </w:t>
      </w:r>
      <w:r>
        <w:rPr>
          <w:rFonts w:ascii="Times New Roman" w:hAnsi="Times New Roman"/>
          <w:b w:val="false"/>
          <w:i w:val="false"/>
          <w:color w:val="000000"/>
          <w:sz w:val="22"/>
        </w:rPr>
        <w:t>Residents’ personal laundry shall be marked with an identification if commingled with other residents’ personal laundry.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63.32(2)</w:t>
      </w:r>
      <w:r>
        <w:rPr>
          <w:rFonts w:ascii="Times New Roman" w:hAnsi="Times New Roman"/>
          <w:b w:val="false"/>
          <w:i w:val="false"/>
          <w:color w:val="000000"/>
          <w:sz w:val="22"/>
        </w:rPr>
        <w:t> </w:t>
      </w:r>
      <w:r>
        <w:rPr>
          <w:rFonts w:ascii="Times New Roman" w:hAnsi="Times New Roman"/>
          <w:b w:val="false"/>
          <w:i w:val="false"/>
          <w:color w:val="000000"/>
          <w:sz w:val="22"/>
        </w:rPr>
        <w:t>Bed linens, towels, and washcloths shall be clean and stain-free.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63.32(3)</w:t>
      </w:r>
      <w:r>
        <w:rPr>
          <w:rFonts w:ascii="Times New Roman" w:hAnsi="Times New Roman"/>
          <w:b w:val="false"/>
          <w:i w:val="false"/>
          <w:color w:val="000000"/>
          <w:sz w:val="22"/>
        </w:rPr>
        <w:t> </w:t>
      </w:r>
      <w:r>
        <w:rPr>
          <w:rFonts w:ascii="Times New Roman" w:hAnsi="Times New Roman"/>
          <w:b w:val="false"/>
          <w:i w:val="false"/>
          <w:color w:val="000000"/>
          <w:sz w:val="22"/>
        </w:rPr>
        <w:t>If laundry is done in the facility, a clean, dry, well-lit area to accommodate a washer and dryer of adequate size to serve the needs of the facility shall be provided.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481—63.33</w:t>
      </w:r>
      <w:r>
        <w:rPr>
          <w:rFonts w:ascii="Times New Roman" w:hAnsi="Times New Roman"/>
          <w:b/>
          <w:i w:val="false"/>
          <w:color w:val="000000"/>
          <w:sz w:val="22"/>
        </w:rPr>
        <w:t xml:space="preserve">(135C) </w:t>
      </w:r>
      <w:r>
        <w:rPr>
          <w:rFonts w:ascii="Times New Roman" w:hAnsi="Times New Roman"/>
          <w:b/>
          <w:i w:val="false"/>
          <w:color w:val="000000"/>
          <w:sz w:val="22"/>
        </w:rPr>
        <w:t xml:space="preserve">Garbage and waste disposal.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63.33(1)</w:t>
      </w:r>
      <w:r>
        <w:rPr>
          <w:rFonts w:ascii="Times New Roman" w:hAnsi="Times New Roman"/>
          <w:b w:val="false"/>
          <w:i w:val="false"/>
          <w:color w:val="000000"/>
          <w:sz w:val="22"/>
        </w:rPr>
        <w:t> </w:t>
      </w:r>
      <w:r>
        <w:rPr>
          <w:rFonts w:ascii="Times New Roman" w:hAnsi="Times New Roman"/>
          <w:b w:val="false"/>
          <w:i w:val="false"/>
          <w:color w:val="000000"/>
          <w:sz w:val="22"/>
        </w:rPr>
        <w:t>All garbage shall be gathered, stored, and disposed of in a manner that will not permit transmission of disease, create a nuisance, or provide a breeding or feeding place for vermin or insects.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63.33(2)</w:t>
      </w:r>
      <w:r>
        <w:rPr>
          <w:rFonts w:ascii="Times New Roman" w:hAnsi="Times New Roman"/>
          <w:b w:val="false"/>
          <w:i w:val="false"/>
          <w:color w:val="000000"/>
          <w:sz w:val="22"/>
        </w:rPr>
        <w:t> </w:t>
      </w:r>
      <w:r>
        <w:rPr>
          <w:rFonts w:ascii="Times New Roman" w:hAnsi="Times New Roman"/>
          <w:b w:val="false"/>
          <w:i w:val="false"/>
          <w:color w:val="000000"/>
          <w:sz w:val="22"/>
        </w:rPr>
        <w:t>All containers for refuse shall be watertight and rodent-proof and have tight-fitting covers.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63.33(3)</w:t>
      </w:r>
      <w:r>
        <w:rPr>
          <w:rFonts w:ascii="Times New Roman" w:hAnsi="Times New Roman"/>
          <w:b w:val="false"/>
          <w:i w:val="false"/>
          <w:color w:val="000000"/>
          <w:sz w:val="22"/>
        </w:rPr>
        <w:t> </w:t>
      </w:r>
      <w:r>
        <w:rPr>
          <w:rFonts w:ascii="Times New Roman" w:hAnsi="Times New Roman"/>
          <w:b w:val="false"/>
          <w:i w:val="false"/>
          <w:color w:val="000000"/>
          <w:sz w:val="22"/>
        </w:rPr>
        <w:t>All unlined containers inside of the facility shall be thoroughly cleaned each time the containers are emptied.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63.33(4)</w:t>
      </w:r>
      <w:r>
        <w:rPr>
          <w:rFonts w:ascii="Times New Roman" w:hAnsi="Times New Roman"/>
          <w:b w:val="false"/>
          <w:i w:val="false"/>
          <w:color w:val="000000"/>
          <w:sz w:val="22"/>
        </w:rPr>
        <w:t> </w:t>
      </w:r>
      <w:r>
        <w:rPr>
          <w:rFonts w:ascii="Times New Roman" w:hAnsi="Times New Roman"/>
          <w:b w:val="false"/>
          <w:i w:val="false"/>
          <w:color w:val="000000"/>
          <w:sz w:val="22"/>
        </w:rPr>
        <w:t>All waste shall be properly disposed of in compliance with local ordinances and state codes.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481—63.34</w:t>
      </w:r>
      <w:r>
        <w:rPr>
          <w:rFonts w:ascii="Times New Roman" w:hAnsi="Times New Roman"/>
          <w:b/>
          <w:i w:val="false"/>
          <w:color w:val="000000"/>
          <w:sz w:val="22"/>
        </w:rPr>
        <w:t xml:space="preserve">(135C) </w:t>
      </w:r>
      <w:r>
        <w:rPr>
          <w:rFonts w:ascii="Times New Roman" w:hAnsi="Times New Roman"/>
          <w:b/>
          <w:i w:val="false"/>
          <w:color w:val="000000"/>
          <w:sz w:val="22"/>
        </w:rPr>
        <w:t xml:space="preserve">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63.34(1)</w:t>
      </w:r>
      <w:r>
        <w:rPr>
          <w:rFonts w:ascii="Times New Roman" w:hAnsi="Times New Roman"/>
          <w:b w:val="false"/>
          <w:i w:val="false"/>
          <w:color w:val="000000"/>
          <w:sz w:val="22"/>
        </w:rPr>
        <w:t> </w:t>
      </w:r>
      <w:r>
        <w:rPr>
          <w:rFonts w:ascii="Times New Roman" w:hAnsi="Times New Roman"/>
          <w:b w:val="false"/>
          <w:i/>
          <w:color w:val="000000"/>
          <w:sz w:val="22"/>
        </w:rPr>
        <w:t xml:space="preserve">Linen 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an adequate supply of linens so that each resident shall have at least three washcloths, hand towels, and bath towels per week.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 change of bed linens shall be available in the linen storage area for each bed.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Sufficient lightweight, clean, serviceable blankets shall be available. All blankets shall be laundered as often as necessary for cleanliness and freedom from odors.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bed shall be provided with clean, washable bedspreads. There shall be a supply available when changes are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Adequate storage shall be provided for linens, pillows, and bedding.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63.34(2)</w:t>
      </w:r>
      <w:r>
        <w:rPr>
          <w:rFonts w:ascii="Times New Roman" w:hAnsi="Times New Roman"/>
          <w:b w:val="false"/>
          <w:i w:val="false"/>
          <w:color w:val="000000"/>
          <w:sz w:val="22"/>
        </w:rPr>
        <w:t> </w:t>
      </w:r>
      <w:r>
        <w:rPr>
          <w:rFonts w:ascii="Times New Roman" w:hAnsi="Times New Roman"/>
          <w:b w:val="false"/>
          <w:i/>
          <w:color w:val="000000"/>
          <w:sz w:val="22"/>
        </w:rPr>
        <w:t xml:space="preserve">Supplies, equipment and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equipment shall be properly cleaned and sanitized before use by another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Clean and sanitary storage shall be provided for equipment and supplies.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Locked storage should be available for potentially dangerous items such as scissors, knives, and toxic materials.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481—63.35</w:t>
      </w:r>
      <w:r>
        <w:rPr>
          <w:rFonts w:ascii="Times New Roman" w:hAnsi="Times New Roman"/>
          <w:b/>
          <w:i w:val="false"/>
          <w:color w:val="000000"/>
          <w:sz w:val="22"/>
        </w:rPr>
        <w:t xml:space="preserve">(135C) </w:t>
      </w:r>
      <w:r>
        <w:rPr>
          <w:rFonts w:ascii="Times New Roman" w:hAnsi="Times New Roman"/>
          <w:b/>
          <w:i w:val="false"/>
          <w:color w:val="000000"/>
          <w:sz w:val="22"/>
        </w:rPr>
        <w:t xml:space="preserve">Buildings, 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63.35(1)</w:t>
      </w:r>
      <w:r>
        <w:rPr>
          <w:rFonts w:ascii="Times New Roman" w:hAnsi="Times New Roman"/>
          <w:b w:val="false"/>
          <w:i w:val="false"/>
          <w:color w:val="000000"/>
          <w:sz w:val="22"/>
        </w:rPr>
        <w:t> </w:t>
      </w:r>
      <w:r>
        <w:rPr>
          <w:rFonts w:ascii="Times New Roman" w:hAnsi="Times New Roman"/>
          <w:b w:val="false"/>
          <w:i/>
          <w:color w:val="000000"/>
          <w:sz w:val="22"/>
        </w:rPr>
        <w:t xml:space="preserve">Buildings—general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windows shall be supplied with window treatments that are kept clean and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glass sliding doors or transparent panels are used, they shall be marked conspicuously.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shall meet the equivalent requirements of the appropriate group occupancy of the state building code.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be located in an area zoned for single- or multiple-family housing or in an unincorporated area and shall be constructed in compliance with applicable local housing codes and rules adopted for this classification of license by the state fire marshal.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63.35(2)</w:t>
      </w:r>
      <w:r>
        <w:rPr>
          <w:rFonts w:ascii="Times New Roman" w:hAnsi="Times New Roman"/>
          <w:b w:val="false"/>
          <w:i w:val="false"/>
          <w:color w:val="000000"/>
          <w:sz w:val="22"/>
        </w:rPr>
        <w:t> </w:t>
      </w:r>
      <w:r>
        <w:rPr>
          <w:rFonts w:ascii="Times New Roman" w:hAnsi="Times New Roman"/>
          <w:b w:val="false"/>
          <w:i/>
          <w:color w:val="000000"/>
          <w:sz w:val="22"/>
        </w:rPr>
        <w:t xml:space="preserve">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furnishings and equipment shall be durable, cleanable, and appropriate to their function.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resident areas shall be decorated, painted, and furnished to provide a homelike atmosphere.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63.35(3)</w:t>
      </w:r>
      <w:r>
        <w:rPr>
          <w:rFonts w:ascii="Times New Roman" w:hAnsi="Times New Roman"/>
          <w:b w:val="false"/>
          <w:i w:val="false"/>
          <w:color w:val="000000"/>
          <w:sz w:val="22"/>
        </w:rPr>
        <w:t> </w:t>
      </w:r>
      <w:r>
        <w:rPr>
          <w:rFonts w:ascii="Times New Roman" w:hAnsi="Times New Roman"/>
          <w:b w:val="false"/>
          <w:i/>
          <w:color w:val="000000"/>
          <w:sz w:val="22"/>
        </w:rPr>
        <w:t xml:space="preserve">Dining areas and living 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Living rooms shall be maintained for the use of residents and their visitors and may be used for recreational activities. Living rooms shall be suitably furnished.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Dining areas shall be furnished with dining tables and chairs appropriate to the size and function of the facility. Dining rooms and furnishings shall be kept clean and sanitary.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63.35(4)</w:t>
      </w:r>
      <w:r>
        <w:rPr>
          <w:rFonts w:ascii="Times New Roman" w:hAnsi="Times New Roman"/>
          <w:b w:val="false"/>
          <w:i w:val="false"/>
          <w:color w:val="000000"/>
          <w:sz w:val="22"/>
        </w:rPr>
        <w:t> </w:t>
      </w:r>
      <w:r>
        <w:rPr>
          <w:rFonts w:ascii="Times New Roman" w:hAnsi="Times New Roman"/>
          <w:b w:val="false"/>
          <w:i/>
          <w:color w:val="000000"/>
          <w:sz w:val="22"/>
        </w:rPr>
        <w:t xml:space="preserve">Bedrooms.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provided with a twin-sized or larger bed, substantially constructed and in good repair. Rollaway beds, metal cots, or folding beds are not acceptable.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bed shall be equipped with the following: casters or glides; clean springs in good repair; a clean, comfortable, well-constructed mattress approximately five inches thick and standard in size for the bed; and clean, comfortable pillows of average bed size.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a comfortable chair, either a rocking chair or armchair, per resident bed. The resident’s personal wishes shall be considered.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drawer space for each resident’s clothing. In a bedroom in which more than one resident resides, drawer space shall be assigned to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Beds and other furnishings shall not obstruct free passage to and through doorways.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Beds shall not be placed in such a manner that the side of the bed is against the radiator or in close proximity to it unless the radiator is covered so as to protect the resident from contact with it or from excessive heat.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shall be a wardrobe or closet in each resident’s room. Minimum clear dimensions shall be 1 foot 10 inches deep by 1 foot 8 inches wide with full hanging space and provide a clothes rod and shelf. In a multiple bedroom, closet or wardrobe space shall be assigned each resident sufficient for the resident’s needs.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Each room shall have sufficient accessible mirrors to serve resident’s needs.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Useable floor space of a room shall be no less than 8 feet in any major dimension.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Bedrooms shall have a minimum of 60 square feet of useable floor space per bed for a double room, 80 square feet of useable floor space for a single room.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than two residents per room.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63.35(5)</w:t>
      </w:r>
      <w:r>
        <w:rPr>
          <w:rFonts w:ascii="Times New Roman" w:hAnsi="Times New Roman"/>
          <w:b w:val="false"/>
          <w:i w:val="false"/>
          <w:color w:val="000000"/>
          <w:sz w:val="22"/>
        </w:rPr>
        <w:t> </w:t>
      </w:r>
      <w:r>
        <w:rPr>
          <w:rFonts w:ascii="Times New Roman" w:hAnsi="Times New Roman"/>
          <w:b w:val="false"/>
          <w:i/>
          <w:color w:val="000000"/>
          <w:sz w:val="22"/>
        </w:rPr>
        <w:t xml:space="preserve">Bath and toilet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sinks shall have paper towel dispensers and an available supply of soap.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Toilet paper shall be readily available to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a minimum of one toilet and bath facility for five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63.35(6)</w:t>
      </w:r>
      <w:r>
        <w:rPr>
          <w:rFonts w:ascii="Times New Roman" w:hAnsi="Times New Roman"/>
          <w:b w:val="false"/>
          <w:i w:val="false"/>
          <w:color w:val="000000"/>
          <w:sz w:val="22"/>
        </w:rPr>
        <w:t> </w:t>
      </w:r>
      <w:r>
        <w:rPr>
          <w:rFonts w:ascii="Times New Roman" w:hAnsi="Times New Roman"/>
          <w:b w:val="false"/>
          <w:i/>
          <w:color w:val="000000"/>
          <w:sz w:val="22"/>
        </w:rPr>
        <w:t xml:space="preserve">Heating. </w:t>
      </w:r>
      <w:r>
        <w:rPr>
          <w:rFonts w:ascii="Times New Roman" w:hAnsi="Times New Roman"/>
          <w:b w:val="false"/>
          <w:i w:val="false"/>
          <w:color w:val="000000"/>
          <w:sz w:val="22"/>
        </w:rPr>
        <w:t>A centralized heating system shall be maintained in good working order and capable of maintaining a comfortable temperature for residents of the facility. Portable units or space heaters are prohibited from being used in the facility except in an emergency.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63.35(7)</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Private sources of water supply shall be tested annually and the report made available for review by the department upon request.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bacterially unsafe source of water supply shall be grounds for denial, suspension, or revocation of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testing of private sources of water supply at its discretion in addition to the annual test. The facility shall supply reports of such tests as directed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Hot and cold running water under pressure shall be available in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to construction of a new facility or new water source, private sources of water supply shall be surveyed and shall comply with the requirements of the department.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4577C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481—63.36</w:t>
      </w:r>
      <w:r>
        <w:rPr>
          <w:rFonts w:ascii="Times New Roman" w:hAnsi="Times New Roman"/>
          <w:b/>
          <w:i w:val="false"/>
          <w:color w:val="000000"/>
          <w:sz w:val="22"/>
        </w:rPr>
        <w:t xml:space="preserve">(135C) </w:t>
      </w:r>
      <w:r>
        <w:rPr>
          <w:rFonts w:ascii="Times New Roman" w:hAnsi="Times New Roman"/>
          <w:b/>
          <w:i w:val="false"/>
          <w:color w:val="000000"/>
          <w:sz w:val="22"/>
        </w:rPr>
        <w:t xml:space="preserve">Family and employee accommodations. </w:t>
      </w:r>
      <w:r>
        <w:rPr>
          <w:rFonts w:ascii="Times New Roman" w:hAnsi="Times New Roman"/>
          <w:b w:val="false"/>
          <w:i w:val="false"/>
          <w:color w:val="000000"/>
          <w:sz w:val="22"/>
        </w:rPr>
        <w:t>If the family or employees live within the facility, separate living quarters and recreation facilities shall be required for the family or employees distinct from such areas provided for the residents.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481—63.37</w:t>
      </w:r>
      <w:r>
        <w:rPr>
          <w:rFonts w:ascii="Times New Roman" w:hAnsi="Times New Roman"/>
          <w:b/>
          <w:i w:val="false"/>
          <w:color w:val="000000"/>
          <w:sz w:val="22"/>
        </w:rPr>
        <w:t xml:space="preserve">(135C) </w:t>
      </w:r>
      <w:r>
        <w:rPr>
          <w:rFonts w:ascii="Times New Roman" w:hAnsi="Times New Roman"/>
          <w:b/>
          <w:i w:val="false"/>
          <w:color w:val="000000"/>
          <w:sz w:val="22"/>
        </w:rPr>
        <w:t xml:space="preserve">Animals. </w:t>
      </w:r>
      <w:r>
        <w:rPr>
          <w:rFonts w:ascii="Times New Roman" w:hAnsi="Times New Roman"/>
          <w:b w:val="false"/>
          <w:i w:val="false"/>
          <w:color w:val="000000"/>
          <w:sz w:val="22"/>
        </w:rPr>
        <w:t>No animals shall be allowed to reside in the facility except with written approval of the department and under controlled conditions.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2">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8/18/77, Notice 2/23/77—published 9/7/77, effective 10/13/77]</w:t>
      </w:r>
    </w:p>
    <w:p>
      <w:pPr>
        <w:spacing w:before="0" w:after="0"/>
        <w:ind w:left="120"/>
        <w:jc w:val="center"/>
      </w:pPr>
      <w:r>
        <w:rPr>
          <w:rFonts w:ascii="Times New Roman" w:hAnsi="Times New Roman"/>
          <w:b w:val="false"/>
          <w:i w:val="false"/>
          <w:color w:val="000000"/>
          <w:sz w:val="21"/>
        </w:rPr>
        <w:t>[Filed without Notice 10/14/77—published 11/2/77, effective 12/8/77]</w:t>
      </w:r>
    </w:p>
    <w:p>
      <w:pPr>
        <w:spacing w:before="0" w:after="0"/>
        <w:ind w:left="120"/>
        <w:jc w:val="center"/>
      </w:pPr>
      <w:r>
        <w:rPr>
          <w:rFonts w:ascii="Times New Roman" w:hAnsi="Times New Roman"/>
          <w:b w:val="false"/>
          <w:i w:val="false"/>
          <w:color w:val="000000"/>
          <w:sz w:val="21"/>
        </w:rPr>
        <w:t>[Filed 1/20/78, Notice 12/14/77—published 2/8/78, effective 3/15/78]</w:t>
      </w:r>
    </w:p>
    <w:p>
      <w:pPr>
        <w:spacing w:before="0" w:after="0"/>
        <w:ind w:left="120"/>
        <w:jc w:val="center"/>
      </w:pPr>
      <w:r>
        <w:rPr>
          <w:rFonts w:ascii="Times New Roman" w:hAnsi="Times New Roman"/>
          <w:b w:val="false"/>
          <w:i w:val="false"/>
          <w:color w:val="000000"/>
          <w:sz w:val="21"/>
        </w:rPr>
        <w:t>[Filed 7/7/78, Notice 5/31/78—published 7/26/78, effective 9/1/78]</w:t>
      </w:r>
    </w:p>
    <w:p>
      <w:pPr>
        <w:spacing w:before="0" w:after="0"/>
        <w:ind w:left="120"/>
        <w:jc w:val="center"/>
      </w:pPr>
      <w:r>
        <w:rPr>
          <w:rFonts w:ascii="Times New Roman" w:hAnsi="Times New Roman"/>
          <w:b w:val="false"/>
          <w:i w:val="false"/>
          <w:color w:val="000000"/>
          <w:sz w:val="21"/>
        </w:rPr>
        <w:t>[Filed 10/13/78, Notice 9/6/78—published 11/1/78, effective 12/7/78]</w:t>
      </w:r>
    </w:p>
    <w:p>
      <w:pPr>
        <w:spacing w:before="0" w:after="0"/>
        <w:ind w:left="120"/>
        <w:jc w:val="center"/>
      </w:pPr>
      <w:r>
        <w:rPr>
          <w:rFonts w:ascii="Times New Roman" w:hAnsi="Times New Roman"/>
          <w:b w:val="false"/>
          <w:i w:val="false"/>
          <w:color w:val="000000"/>
          <w:sz w:val="21"/>
        </w:rPr>
        <w:t>[Filed 11/9/78, Notice 6/28/78—published 11/29/78, effective 1/3/79]</w:t>
      </w:r>
    </w:p>
    <w:p>
      <w:pPr>
        <w:spacing w:before="0" w:after="0"/>
        <w:ind w:left="120"/>
        <w:jc w:val="center"/>
      </w:pPr>
      <w:r>
        <w:rPr>
          <w:rFonts w:ascii="Times New Roman" w:hAnsi="Times New Roman"/>
          <w:b w:val="false"/>
          <w:i w:val="false"/>
          <w:color w:val="000000"/>
          <w:sz w:val="21"/>
        </w:rPr>
        <w:t>[Filed emergency 11/22/78—published 12/13/78, effective 1/3/79]</w:t>
      </w:r>
    </w:p>
    <w:p>
      <w:pPr>
        <w:spacing w:before="0" w:after="0"/>
        <w:ind w:left="120"/>
        <w:jc w:val="center"/>
      </w:pPr>
      <w:r>
        <w:rPr>
          <w:rFonts w:ascii="Times New Roman" w:hAnsi="Times New Roman"/>
          <w:b w:val="false"/>
          <w:i w:val="false"/>
          <w:color w:val="000000"/>
          <w:sz w:val="21"/>
        </w:rPr>
        <w:t>[Filed 5/20/82, Notice 12/23/81—published 6/9/82, effective 7/14/82]</w:t>
      </w:r>
    </w:p>
    <w:p>
      <w:pPr>
        <w:spacing w:before="0" w:after="0"/>
        <w:ind w:left="120"/>
        <w:jc w:val="center"/>
      </w:pPr>
      <w:r>
        <w:rPr>
          <w:rFonts w:ascii="Times New Roman" w:hAnsi="Times New Roman"/>
          <w:b w:val="false"/>
          <w:i w:val="false"/>
          <w:color w:val="000000"/>
          <w:sz w:val="21"/>
        </w:rPr>
        <w:t>[Filed 1/10/86, Notice 11/6/85—published 1/29/86, effective 3/5/86]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5/15/86, Notice 2/26/86—published 6/4/86, effective 7/9/86]</w:t>
      </w:r>
    </w:p>
    <w:p>
      <w:pPr>
        <w:spacing w:before="0" w:after="0"/>
        <w:ind w:left="120"/>
        <w:jc w:val="center"/>
      </w:pPr>
      <w:r>
        <w:rPr>
          <w:rFonts w:ascii="Times New Roman" w:hAnsi="Times New Roman"/>
          <w:b w:val="false"/>
          <w:i w:val="false"/>
          <w:color w:val="000000"/>
          <w:sz w:val="21"/>
        </w:rPr>
        <w:t>[Filed 5/16/86, Notice 1/1/86—published 6/4/86, effective 7/9/86]</w:t>
      </w:r>
    </w:p>
    <w:p>
      <w:pPr>
        <w:spacing w:before="0" w:after="0"/>
        <w:ind w:left="120"/>
        <w:jc w:val="center"/>
      </w:pPr>
      <w:r>
        <w:rPr>
          <w:rFonts w:ascii="Times New Roman" w:hAnsi="Times New Roman"/>
          <w:b w:val="false"/>
          <w:i w:val="false"/>
          <w:color w:val="000000"/>
          <w:sz w:val="21"/>
        </w:rPr>
        <w:t>[Filed emergency 7/1/86—published 7/16/86,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9/19/86—published 10/8/86, effective 9/19/86]</w:t>
      </w:r>
    </w:p>
    <w:p>
      <w:pPr>
        <w:spacing w:before="0" w:after="0"/>
        <w:ind w:left="120"/>
        <w:jc w:val="center"/>
      </w:pPr>
      <w:r>
        <w:rPr>
          <w:rFonts w:ascii="Times New Roman" w:hAnsi="Times New Roman"/>
          <w:b w:val="false"/>
          <w:i w:val="false"/>
          <w:color w:val="000000"/>
          <w:sz w:val="21"/>
        </w:rPr>
        <w:t>[Filed emergency after Notice 3/12/87, Notice 12/31/86—published 4/8/87, effective 3/12/87]</w:t>
      </w:r>
    </w:p>
    <w:p>
      <w:pPr>
        <w:spacing w:before="0" w:after="0"/>
        <w:ind w:left="120"/>
        <w:jc w:val="center"/>
      </w:pPr>
      <w:r>
        <w:rPr>
          <w:rFonts w:ascii="Times New Roman" w:hAnsi="Times New Roman"/>
          <w:b w:val="false"/>
          <w:i w:val="false"/>
          <w:color w:val="000000"/>
          <w:sz w:val="21"/>
        </w:rPr>
        <w:t>[Filed 3/12/87, Notice 1/25/87—published 4/8/87, effective 5/13/87]</w:t>
      </w:r>
    </w:p>
    <w:p>
      <w:pPr>
        <w:spacing w:before="0" w:after="0"/>
        <w:ind w:left="120"/>
        <w:jc w:val="center"/>
      </w:pPr>
      <w:r>
        <w:rPr>
          <w:rFonts w:ascii="Times New Roman" w:hAnsi="Times New Roman"/>
          <w:b w:val="false"/>
          <w:i w:val="false"/>
          <w:color w:val="000000"/>
          <w:sz w:val="21"/>
        </w:rPr>
        <w:t>[Filed emergency 6/25/87—published 7/15/87, effective 7/1/87]</w:t>
      </w:r>
    </w:p>
    <w:p>
      <w:pPr>
        <w:spacing w:before="0" w:after="0"/>
        <w:ind w:left="120"/>
        <w:jc w:val="center"/>
      </w:pPr>
      <w:r>
        <w:rPr>
          <w:rFonts w:ascii="Times New Roman" w:hAnsi="Times New Roman"/>
          <w:b w:val="false"/>
          <w:i w:val="false"/>
          <w:color w:val="000000"/>
          <w:sz w:val="21"/>
        </w:rPr>
        <w:t>[Filed 2/5/88, Notice 10/7/87—published 2/24/88, effective 3/30/88]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4/28/88, Notice 12/16/87—published 5/18/88, effective 6/22/88]</w:t>
      </w:r>
    </w:p>
    <w:p>
      <w:pPr>
        <w:spacing w:before="0" w:after="0"/>
        <w:ind w:left="120"/>
        <w:jc w:val="center"/>
      </w:pPr>
      <w:r>
        <w:rPr>
          <w:rFonts w:ascii="Times New Roman" w:hAnsi="Times New Roman"/>
          <w:b w:val="false"/>
          <w:i w:val="false"/>
          <w:color w:val="000000"/>
          <w:sz w:val="21"/>
        </w:rPr>
        <w:t>[Filed 5/26/88, Notice 4/20/88—published 6/15/88, effective 7/20/88]</w:t>
      </w:r>
    </w:p>
    <w:p>
      <w:pPr>
        <w:spacing w:before="0" w:after="0"/>
        <w:ind w:left="120"/>
        <w:jc w:val="center"/>
      </w:pPr>
      <w:r>
        <w:rPr>
          <w:rFonts w:ascii="Times New Roman" w:hAnsi="Times New Roman"/>
          <w:b w:val="false"/>
          <w:i w:val="false"/>
          <w:color w:val="000000"/>
          <w:sz w:val="21"/>
        </w:rPr>
        <w:t>[Filed 9/30/88, Notice 8/24/88—published 10/19/88, effective 11/23/88]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12/9/88, Notices 8/24/88, 10/5/88—published 12/28/88, effective 2/1/89]</w:t>
      </w:r>
    </w:p>
    <w:p>
      <w:pPr>
        <w:spacing w:before="0" w:after="0"/>
        <w:ind w:left="120"/>
        <w:jc w:val="center"/>
      </w:pPr>
      <w:r>
        <w:rPr>
          <w:rFonts w:ascii="Times New Roman" w:hAnsi="Times New Roman"/>
          <w:b w:val="false"/>
          <w:i w:val="false"/>
          <w:color w:val="000000"/>
          <w:sz w:val="21"/>
        </w:rPr>
        <w:t>[Filed 6/23/89, Notice 5/17/89—published 7/12/89, effective 8/16/89]</w:t>
      </w:r>
    </w:p>
    <w:p>
      <w:pPr>
        <w:spacing w:before="0" w:after="0"/>
        <w:ind w:left="120"/>
        <w:jc w:val="center"/>
      </w:pPr>
      <w:r>
        <w:rPr>
          <w:rFonts w:ascii="Times New Roman" w:hAnsi="Times New Roman"/>
          <w:b w:val="false"/>
          <w:i w:val="false"/>
          <w:color w:val="000000"/>
          <w:sz w:val="21"/>
        </w:rPr>
        <w:t>[Filed 7/20/89, Notice 6/14/89—published 8/9/89, effective 9/13/89]</w:t>
      </w:r>
    </w:p>
    <w:p>
      <w:pPr>
        <w:spacing w:before="0" w:after="0"/>
        <w:ind w:left="120"/>
        <w:jc w:val="center"/>
      </w:pPr>
      <w:r>
        <w:rPr>
          <w:rFonts w:ascii="Times New Roman" w:hAnsi="Times New Roman"/>
          <w:b w:val="false"/>
          <w:i w:val="false"/>
          <w:color w:val="000000"/>
          <w:sz w:val="21"/>
        </w:rPr>
        <w:t>[Filed 8/16/89, Notices 4/19/89, 7/12/89—published 9/6/89, effective 10/11/89]</w:t>
      </w:r>
    </w:p>
    <w:p>
      <w:pPr>
        <w:spacing w:before="0" w:after="0"/>
        <w:ind w:left="120"/>
        <w:jc w:val="center"/>
      </w:pPr>
      <w:r>
        <w:rPr>
          <w:rFonts w:ascii="Times New Roman" w:hAnsi="Times New Roman"/>
          <w:b w:val="false"/>
          <w:i w:val="false"/>
          <w:color w:val="000000"/>
          <w:sz w:val="21"/>
        </w:rPr>
        <w:t>[Filed 6/8/90, Notice 1/10/90—published 6/27/90, effective 8/1/90]</w:t>
      </w:r>
    </w:p>
    <w:p>
      <w:pPr>
        <w:spacing w:before="0" w:after="0"/>
        <w:ind w:left="120"/>
        <w:jc w:val="center"/>
      </w:pPr>
      <w:r>
        <w:rPr>
          <w:rFonts w:ascii="Times New Roman" w:hAnsi="Times New Roman"/>
          <w:b w:val="false"/>
          <w:i w:val="false"/>
          <w:color w:val="000000"/>
          <w:sz w:val="21"/>
        </w:rPr>
        <w:t>[Filed 7/17/90, Notice 5/2/90—published 8/8/90, effective 9/12/90]</w:t>
      </w:r>
    </w:p>
    <w:p>
      <w:pPr>
        <w:spacing w:before="0" w:after="0"/>
        <w:ind w:left="120"/>
        <w:jc w:val="center"/>
      </w:pPr>
      <w:r>
        <w:rPr>
          <w:rFonts w:ascii="Times New Roman" w:hAnsi="Times New Roman"/>
          <w:b w:val="false"/>
          <w:i w:val="false"/>
          <w:color w:val="000000"/>
          <w:sz w:val="21"/>
        </w:rPr>
        <w:t>[Filed 3/14/91, Notice 9/19/90—published 4/3/91, effective 5/8/91]</w:t>
      </w:r>
    </w:p>
    <w:p>
      <w:pPr>
        <w:spacing w:before="0" w:after="0"/>
        <w:ind w:left="120"/>
        <w:jc w:val="center"/>
      </w:pPr>
      <w:r>
        <w:rPr>
          <w:rFonts w:ascii="Times New Roman" w:hAnsi="Times New Roman"/>
          <w:b w:val="false"/>
          <w:i w:val="false"/>
          <w:color w:val="000000"/>
          <w:sz w:val="21"/>
        </w:rPr>
        <w:t>[Filed emergency 5/10/91—published 5/29/91, effective 5/10/91]</w:t>
      </w:r>
    </w:p>
    <w:p>
      <w:pPr>
        <w:spacing w:before="0" w:after="0"/>
        <w:ind w:left="120"/>
        <w:jc w:val="center"/>
      </w:pPr>
      <w:r>
        <w:rPr>
          <w:rFonts w:ascii="Times New Roman" w:hAnsi="Times New Roman"/>
          <w:b w:val="false"/>
          <w:i w:val="false"/>
          <w:color w:val="000000"/>
          <w:sz w:val="21"/>
        </w:rPr>
        <w:t>[Filed 1/31/92, Notice 11/13/91—published 2/19/92, effective 3/25/92]</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3/11/94, Notice 9/15/93—published 3/30/94, effective 5/4/94]</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11/30/95, Notice 9/13/95—published 12/20/95, effective 1/24/96]</w:t>
      </w:r>
    </w:p>
    <w:p>
      <w:pPr>
        <w:spacing w:before="0" w:after="0"/>
        <w:ind w:left="120"/>
        <w:jc w:val="center"/>
      </w:pPr>
      <w:r>
        <w:rPr>
          <w:rFonts w:ascii="Times New Roman" w:hAnsi="Times New Roman"/>
          <w:b w:val="false"/>
          <w:i w:val="false"/>
          <w:color w:val="000000"/>
          <w:sz w:val="21"/>
        </w:rPr>
        <w:t>[Filed 1/21/97, Notice 8/14/96—published 2/12/97, effective 3/19/97]</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emergency 7/25/97—published 8/13/97, effective 7/25/97]</w:t>
      </w:r>
    </w:p>
    <w:p>
      <w:pPr>
        <w:spacing w:before="0" w:after="0"/>
        <w:ind w:left="120"/>
        <w:jc w:val="center"/>
      </w:pPr>
      <w:r>
        <w:rPr>
          <w:rFonts w:ascii="Times New Roman" w:hAnsi="Times New Roman"/>
          <w:b w:val="false"/>
          <w:i w:val="false"/>
          <w:color w:val="000000"/>
          <w:sz w:val="21"/>
        </w:rPr>
        <w:t>[Filed emergency 11/14/97—published 12/3/97, effective 11/14/97]</w:t>
      </w:r>
    </w:p>
    <w:p>
      <w:pPr>
        <w:spacing w:before="0" w:after="0"/>
        <w:ind w:left="120"/>
        <w:jc w:val="center"/>
      </w:pPr>
      <w:r>
        <w:rPr>
          <w:rFonts w:ascii="Times New Roman" w:hAnsi="Times New Roman"/>
          <w:b w:val="false"/>
          <w:i w:val="false"/>
          <w:color w:val="000000"/>
          <w:sz w:val="21"/>
        </w:rPr>
        <w:t>[Filed 11/14/97, Notice 8/13/97—published 12/3/97, effective 1/7/98]</w:t>
      </w:r>
    </w:p>
    <w:p>
      <w:pPr>
        <w:spacing w:before="0" w:after="0"/>
        <w:ind w:left="120"/>
        <w:jc w:val="center"/>
      </w:pPr>
      <w:r>
        <w:rPr>
          <w:rFonts w:ascii="Times New Roman" w:hAnsi="Times New Roman"/>
          <w:b w:val="false"/>
          <w:i w:val="false"/>
          <w:color w:val="000000"/>
          <w:sz w:val="21"/>
        </w:rPr>
        <w:t>[Filed 3/31/98, Notice 12/3/97—published 4/22/98, effective 5/27/98]</w:t>
      </w:r>
    </w:p>
    <w:p>
      <w:pPr>
        <w:spacing w:before="0" w:after="0"/>
        <w:ind w:left="120"/>
        <w:jc w:val="center"/>
      </w:pPr>
      <w:r>
        <w:rPr>
          <w:rFonts w:ascii="Times New Roman" w:hAnsi="Times New Roman"/>
          <w:b w:val="false"/>
          <w:i w:val="false"/>
          <w:color w:val="000000"/>
          <w:sz w:val="21"/>
        </w:rPr>
        <w:t>[Filed 7/9/98, Notice 4/22/98—published 7/29/98, effective 9/2/98]</w:t>
      </w:r>
    </w:p>
    <w:p>
      <w:pPr>
        <w:spacing w:before="0" w:after="0"/>
        <w:ind w:left="120"/>
        <w:jc w:val="center"/>
      </w:pPr>
      <w:r>
        <w:rPr>
          <w:rFonts w:ascii="Times New Roman" w:hAnsi="Times New Roman"/>
          <w:b w:val="false"/>
          <w:i w:val="false"/>
          <w:color w:val="000000"/>
          <w:sz w:val="21"/>
        </w:rPr>
        <w:t>[Filed 1/15/04, Notice 10/1/03—published 2/4/04, effective 3/10/04]</w:t>
      </w:r>
    </w:p>
    <w:p>
      <w:pPr>
        <w:spacing w:before="0" w:after="0"/>
        <w:ind w:left="120"/>
        <w:jc w:val="center"/>
      </w:pPr>
      <w:r>
        <w:rPr>
          <w:rFonts w:ascii="Times New Roman" w:hAnsi="Times New Roman"/>
          <w:b w:val="false"/>
          <w:i w:val="false"/>
          <w:color w:val="000000"/>
          <w:sz w:val="21"/>
        </w:rPr>
        <w:t>[Filed 1/15/04, Notice 12/10/03—published 2/4/04, effective 3/10/04]</w:t>
      </w:r>
    </w:p>
    <w:p>
      <w:pPr>
        <w:spacing w:before="0" w:after="0"/>
        <w:ind w:left="120"/>
        <w:jc w:val="center"/>
      </w:pPr>
      <w:r>
        <w:rPr>
          <w:rFonts w:ascii="Times New Roman" w:hAnsi="Times New Roman"/>
          <w:b w:val="false"/>
          <w:i w:val="false"/>
          <w:color w:val="000000"/>
          <w:sz w:val="21"/>
        </w:rPr>
        <w:t>[Filed 9/20/06, Notice 8/2/06—published 10/11/06, effective 11/15/06]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0663C</w:t>
      </w:r>
      <w:r>
        <w:rPr>
          <w:rFonts w:ascii="Times New Roman" w:hAnsi="Times New Roman"/>
          <w:b w:val="false"/>
          <w:i w:val="false"/>
          <w:color w:val="000000"/>
          <w:sz w:val="21"/>
        </w:rPr>
        <w:t xml:space="preserve"> (Notice ARC 0513C, IAB 12/12/12)</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0765C</w:t>
      </w:r>
      <w:r>
        <w:rPr>
          <w:rFonts w:ascii="Times New Roman" w:hAnsi="Times New Roman"/>
          <w:b w:val="false"/>
          <w:i w:val="false"/>
          <w:color w:val="000000"/>
          <w:sz w:val="21"/>
        </w:rPr>
        <w:t xml:space="preserve"> (Notice ARC 0600C, IAB 2/6/13)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0903C</w:t>
      </w:r>
      <w:r>
        <w:rPr>
          <w:rFonts w:ascii="Times New Roman" w:hAnsi="Times New Roman"/>
          <w:b w:val="false"/>
          <w:i w:val="false"/>
          <w:color w:val="000000"/>
          <w:sz w:val="21"/>
        </w:rPr>
        <w:t xml:space="preserve"> (Notice ARC 0776C,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1050C</w:t>
      </w:r>
      <w:r>
        <w:rPr>
          <w:rFonts w:ascii="Times New Roman" w:hAnsi="Times New Roman"/>
          <w:b w:val="false"/>
          <w:i w:val="false"/>
          <w:color w:val="000000"/>
          <w:sz w:val="21"/>
        </w:rPr>
        <w:t xml:space="preserve"> (Notice ARC 0907C,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1205C</w:t>
      </w:r>
      <w:r>
        <w:rPr>
          <w:rFonts w:ascii="Times New Roman" w:hAnsi="Times New Roman"/>
          <w:b w:val="false"/>
          <w:i w:val="false"/>
          <w:color w:val="000000"/>
          <w:sz w:val="21"/>
        </w:rPr>
        <w:t xml:space="preserve"> (Notice ARC 1082C, IAB 10/2/13)</w:t>
      </w:r>
      <w:r>
        <w:rPr>
          <w:rFonts w:ascii="Times New Roman" w:hAnsi="Times New Roman"/>
          <w:b w:val="false"/>
          <w:i w:val="false"/>
          <w:color w:val="000000"/>
          <w:sz w:val="21"/>
        </w:rPr>
        <w:t>, IAB 12/11/13, effective 1/15/14]</w:t>
      </w:r>
      <w:r>
        <w:br/>
      </w:r>
      <w:r>
        <w:rPr>
          <w:rFonts w:ascii="Times New Roman" w:hAnsi="Times New Roman"/>
          <w:b w:val="false"/>
          <w:i w:val="false"/>
          <w:color w:val="000000"/>
          <w:sz w:val="21"/>
        </w:rPr>
        <w:t>[Filed ARC 1204C</w:t>
      </w:r>
      <w:r>
        <w:rPr>
          <w:rFonts w:ascii="Times New Roman" w:hAnsi="Times New Roman"/>
          <w:b w:val="false"/>
          <w:i w:val="false"/>
          <w:color w:val="000000"/>
          <w:sz w:val="21"/>
        </w:rPr>
        <w:t xml:space="preserve"> (Notice ARC 1083C, IAB 10/2/13)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1752C</w:t>
      </w:r>
      <w:r>
        <w:rPr>
          <w:rFonts w:ascii="Times New Roman" w:hAnsi="Times New Roman"/>
          <w:b w:val="false"/>
          <w:i w:val="false"/>
          <w:color w:val="000000"/>
          <w:sz w:val="21"/>
        </w:rPr>
        <w:t xml:space="preserve"> (Notice ARC 1648C,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[Editorial change: IAC Supplement 1/21/15]</w:t>
      </w:r>
    </w:p>
    <w:p>
      <w:pPr>
        <w:spacing w:before="0" w:after="0"/>
        <w:ind w:left="120"/>
        <w:jc w:val="center"/>
      </w:pPr>
      <w:r>
        <w:rPr>
          <w:rFonts w:ascii="Times New Roman" w:hAnsi="Times New Roman"/>
          <w:b w:val="false"/>
          <w:i w:val="false"/>
          <w:color w:val="000000"/>
          <w:sz w:val="21"/>
        </w:rPr>
        <w:t>[Filed ARC 2643C</w:t>
      </w:r>
      <w:r>
        <w:rPr>
          <w:rFonts w:ascii="Times New Roman" w:hAnsi="Times New Roman"/>
          <w:b w:val="false"/>
          <w:i w:val="false"/>
          <w:color w:val="000000"/>
          <w:sz w:val="21"/>
        </w:rPr>
        <w:t xml:space="preserve"> (Notice ARC 2395C, IAB 2/3/16)</w:t>
      </w:r>
      <w:r>
        <w:rPr>
          <w:rFonts w:ascii="Times New Roman" w:hAnsi="Times New Roman"/>
          <w:b w:val="false"/>
          <w:i w:val="false"/>
          <w:color w:val="000000"/>
          <w:sz w:val="21"/>
        </w:rPr>
        <w:t>, IAB 8/3/16, effective 9/7/16]</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3740C</w:t>
      </w:r>
      <w:r>
        <w:rPr>
          <w:rFonts w:ascii="Times New Roman" w:hAnsi="Times New Roman"/>
          <w:b w:val="false"/>
          <w:i w:val="false"/>
          <w:color w:val="000000"/>
          <w:sz w:val="21"/>
        </w:rPr>
        <w:t xml:space="preserve"> (Notice ARC 3475C, IAB 12/6/17)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4577C</w:t>
      </w:r>
      <w:r>
        <w:rPr>
          <w:rFonts w:ascii="Times New Roman" w:hAnsi="Times New Roman"/>
          <w:b w:val="false"/>
          <w:i w:val="false"/>
          <w:color w:val="000000"/>
          <w:sz w:val="21"/>
        </w:rPr>
        <w:t xml:space="preserve"> (Notice ARC 4467C, IAB 6/5/19)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5711C</w:t>
      </w:r>
      <w:r>
        <w:rPr>
          <w:rFonts w:ascii="Times New Roman" w:hAnsi="Times New Roman"/>
          <w:b w:val="false"/>
          <w:i w:val="false"/>
          <w:color w:val="000000"/>
          <w:sz w:val="21"/>
        </w:rPr>
        <w:t xml:space="preserve"> (Notice ARC 5567C, IAB 4/21/21)</w:t>
      </w:r>
      <w:r>
        <w:rPr>
          <w:rFonts w:ascii="Times New Roman" w:hAnsi="Times New Roman"/>
          <w:b w:val="false"/>
          <w:i w:val="false"/>
          <w:color w:val="000000"/>
          <w:sz w:val="21"/>
        </w:rPr>
        <w:t>, IAB 6/16/21, effective 7/21/21]</w:t>
      </w:r>
      <w:r>
        <w:br/>
      </w: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63.15(2)</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delayed 70 days by the Administrative Rules Review Committee, IAB 2/26/86.</w:t>
      </w:r>
      <w:r>
        <w:br/>
      </w:r>
      <w:r>
        <w:rPr>
          <w:rFonts w:ascii="Times New Roman" w:hAnsi="Times New Roman"/>
          <w:b w:val="false"/>
          <w:i w:val="false"/>
          <w:color w:val="000000"/>
          <w:sz w:val="22"/>
        </w:rPr>
        <w:t>Effective date of 63.15(2)</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delayed until the expiration of 45 calendar days into the 1987 session of the General Assembly pursuant to Iowa Code section </w:t>
      </w:r>
      <w:hyperlink r:id="rId53">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IAC 6/4/86.</w:t>
      </w:r>
    </w:p>
    <w:p>
      <w:pPr>
        <w:pBdr>
          <w:bottom w:space="2"/>
        </w:pBdr>
        <w:spacing w:before="0" w:after="0"/>
        <w:ind w:left="120"/>
        <w:jc w:val="both"/>
      </w:pPr>
      <w:r>
        <w:rPr>
          <w:rFonts w:ascii="Times New Roman" w:hAnsi="Times New Roman"/>
          <w:b w:val="false"/>
          <w:i w:val="false"/>
          <w:color w:val="000000"/>
          <w:sz w:val="22"/>
        </w:rPr>
        <w:t>See IAB, Inspections and Appeals Department.</w:t>
      </w:r>
    </w:p>
    <w:p>
      <w:pPr>
        <w:pBdr>
          <w:bottom w:space="2"/>
        </w:pBdr>
        <w:spacing w:before="0" w:after="0"/>
        <w:ind w:left="120"/>
        <w:jc w:val="both"/>
      </w:pPr>
      <w:r>
        <w:rPr>
          <w:rFonts w:ascii="Times New Roman" w:hAnsi="Times New Roman"/>
          <w:b w:val="false"/>
          <w:i w:val="false"/>
          <w:color w:val="000000"/>
          <w:sz w:val="22"/>
        </w:rPr>
        <w:t>Rule 481—63.49(135C), effective 7/1/92.</w:t>
      </w:r>
    </w:p>
    <w:p>
      <w:pPr>
        <w:pBdr>
          <w:bottom w:space="2"/>
        </w:pBdr>
        <w:spacing w:before="0" w:after="0"/>
        <w:ind w:left="120"/>
        <w:jc w:val="both"/>
      </w:pPr>
      <w:r>
        <w:rPr>
          <w:rFonts w:ascii="Times New Roman" w:hAnsi="Times New Roman"/>
          <w:b w:val="false"/>
          <w:i w:val="false"/>
          <w:color w:val="000000"/>
          <w:sz w:val="22"/>
        </w:rPr>
        <w:t>September 7, 2016, effective date of 57.19(3)</w:t>
      </w:r>
      <w:r>
        <w:rPr>
          <w:rFonts w:ascii="Times New Roman" w:hAnsi="Times New Roman"/>
          <w:b w:val="false"/>
          <w:i/>
          <w:color w:val="000000"/>
          <w:sz w:val="22"/>
        </w:rPr>
        <w:t>“d,”</w:t>
      </w:r>
      <w:r>
        <w:rPr>
          <w:rFonts w:ascii="Times New Roman" w:hAnsi="Times New Roman"/>
          <w:b w:val="false"/>
          <w:i w:val="false"/>
          <w:color w:val="000000"/>
          <w:sz w:val="22"/>
        </w:rPr>
        <w:t xml:space="preserve"> 62.15(2)</w:t>
      </w:r>
      <w:r>
        <w:rPr>
          <w:rFonts w:ascii="Times New Roman" w:hAnsi="Times New Roman"/>
          <w:b w:val="false"/>
          <w:i/>
          <w:color w:val="000000"/>
          <w:sz w:val="22"/>
        </w:rPr>
        <w:t>“d,”</w:t>
      </w:r>
      <w:r>
        <w:rPr>
          <w:rFonts w:ascii="Times New Roman" w:hAnsi="Times New Roman"/>
          <w:b w:val="false"/>
          <w:i w:val="false"/>
          <w:color w:val="000000"/>
          <w:sz w:val="22"/>
        </w:rPr>
        <w:t xml:space="preserve"> and 63.18(3)</w:t>
      </w:r>
      <w:r>
        <w:rPr>
          <w:rFonts w:ascii="Times New Roman" w:hAnsi="Times New Roman"/>
          <w:b w:val="false"/>
          <w:i/>
          <w:color w:val="000000"/>
          <w:sz w:val="22"/>
        </w:rPr>
        <w:t>“d”</w:t>
      </w:r>
      <w:r>
        <w:rPr>
          <w:rFonts w:ascii="Times New Roman" w:hAnsi="Times New Roman"/>
          <w:b w:val="false"/>
          <w:i w:val="false"/>
          <w:color w:val="000000"/>
          <w:sz w:val="22"/>
        </w:rPr>
        <w:t xml:space="preserve"> [ARC 2643C] delayed 70 days by the Administrative Rules Review Committee at its meeting held August 5, 2016.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C.1.pdf" Type="http://schemas.openxmlformats.org/officeDocument/2006/relationships/hyperlink" Id="rId5"/>
    <Relationship TargetMode="External" Target="https://www.legis.iowa.gov/docs/iac/rule/481.63.12.pdf" Type="http://schemas.openxmlformats.org/officeDocument/2006/relationships/hyperlink" Id="rId6"/>
    <Relationship TargetMode="External" Target="https://www.legis.iowa.gov/docs/iac/chapter/481.6.pdf" Type="http://schemas.openxmlformats.org/officeDocument/2006/relationships/hyperlink" Id="rId7"/>
    <Relationship TargetMode="External" Target="https://www.legis.iowa.gov/docs/iac/chapter/481.50.pdf" Type="http://schemas.openxmlformats.org/officeDocument/2006/relationships/hyperlink" Id="rId8"/>
    <Relationship TargetMode="External" Target="https://www.legis.iowa.gov/docs/iac/rule/481.63.3.pdf" Type="http://schemas.openxmlformats.org/officeDocument/2006/relationships/hyperlink" Id="rId9"/>
    <Relationship TargetMode="External" Target="https://www.legis.iowa.gov/docs/iac/rule/481.50.3.pdf" Type="http://schemas.openxmlformats.org/officeDocument/2006/relationships/hyperlink" Id="rId10"/>
    <Relationship TargetMode="External" Target="https://www.legis.iowa.gov/docs/iac/rule/481.50.3.pdf" Type="http://schemas.openxmlformats.org/officeDocument/2006/relationships/hyperlink" Id="rId11"/>
    <Relationship TargetMode="External" Target="https://www.legis.iowa.gov/docs/iac/rule/481.63.7.pdf" Type="http://schemas.openxmlformats.org/officeDocument/2006/relationships/hyperlink" Id="rId12"/>
    <Relationship TargetMode="External" Target="https://www.legis.iowa.gov/docs/iac/rule/481.63.7.pdf" Type="http://schemas.openxmlformats.org/officeDocument/2006/relationships/hyperlink" Id="rId13"/>
    <Relationship TargetMode="External" Target="https://www.legis.iowa.gov/docs/ico/chapter/135C.33.pdf" Type="http://schemas.openxmlformats.org/officeDocument/2006/relationships/hyperlink" Id="rId14"/>
    <Relationship TargetMode="External" Target="https://www.legis.iowa.gov/docs/iac/rule/481.50.9.pdf" Type="http://schemas.openxmlformats.org/officeDocument/2006/relationships/hyperlink" Id="rId15"/>
    <Relationship TargetMode="External" Target="https://www.legis.iowa.gov/docs/iac/chapter/481.59.pdf" Type="http://schemas.openxmlformats.org/officeDocument/2006/relationships/hyperlink" Id="rId16"/>
    <Relationship TargetMode="External" Target="https://www.legis.iowa.gov/docs/ico/chapter/135C.16.pdf" Type="http://schemas.openxmlformats.org/officeDocument/2006/relationships/hyperlink" Id="rId17"/>
    <Relationship TargetMode="External" Target="https://www.legis.iowa.gov/docs/ico/chapter/229.pdf" Type="http://schemas.openxmlformats.org/officeDocument/2006/relationships/hyperlink" Id="rId18"/>
    <Relationship TargetMode="External" Target="https://www.legis.iowa.gov/docs/iac/rule/481.63.11.pdf" Type="http://schemas.openxmlformats.org/officeDocument/2006/relationships/hyperlink" Id="rId19"/>
    <Relationship TargetMode="External" Target="https://www.legis.iowa.gov/docs/iac/rule/481.63.11.pdf" Type="http://schemas.openxmlformats.org/officeDocument/2006/relationships/hyperlink" Id="rId20"/>
    <Relationship TargetMode="External" Target="https://www.legis.iowa.gov/docs/iac/rule/481.63.11.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ac/chapter/481.10.pdf" Type="http://schemas.openxmlformats.org/officeDocument/2006/relationships/hyperlink" Id="rId23"/>
    <Relationship TargetMode="External" Target="https://www.legis.iowa.gov/docs/iac/rule/481.63.11.pdf" Type="http://schemas.openxmlformats.org/officeDocument/2006/relationships/hyperlink" Id="rId24"/>
    <Relationship TargetMode="External" Target="https://www.legis.iowa.gov/docs/ico/chapter/228.1.pdf" Type="http://schemas.openxmlformats.org/officeDocument/2006/relationships/hyperlink" Id="rId25"/>
    <Relationship TargetMode="External" Target="https://www.legis.iowa.gov/docs/iac/rule/481.63.11.pdf" Type="http://schemas.openxmlformats.org/officeDocument/2006/relationships/hyperlink" Id="rId26"/>
    <Relationship TargetMode="External" Target="https://www.legis.iowa.gov/docs/iac/rule/481.63.11.pdf" Type="http://schemas.openxmlformats.org/officeDocument/2006/relationships/hyperlink" Id="rId27"/>
    <Relationship TargetMode="External" Target="https://www.legis.iowa.gov/docs/iac/rule/481.63.11.pdf" Type="http://schemas.openxmlformats.org/officeDocument/2006/relationships/hyperlink" Id="rId28"/>
    <Relationship TargetMode="External" Target="https://www.legis.iowa.gov/docs/iac/rule/481.63.11.pdf" Type="http://schemas.openxmlformats.org/officeDocument/2006/relationships/hyperlink" Id="rId29"/>
    <Relationship TargetMode="External" Target="https://www.legis.iowa.gov/docs/iac/rule/481.63.11.pdf" Type="http://schemas.openxmlformats.org/officeDocument/2006/relationships/hyperlink" Id="rId30"/>
    <Relationship TargetMode="External" Target="https://www.legis.iowa.gov/docs/iac/chapter/481.59.pdf" Type="http://schemas.openxmlformats.org/officeDocument/2006/relationships/hyperlink" Id="rId31"/>
    <Relationship TargetMode="External" Target="https://www.legis.iowa.gov/docs/iac/rule/481.50.10.pdf" Type="http://schemas.openxmlformats.org/officeDocument/2006/relationships/hyperlink" Id="rId32"/>
    <Relationship TargetMode="External" Target="https://www.legis.iowa.gov/docs/iac/rule/481.63.8.pdf" Type="http://schemas.openxmlformats.org/officeDocument/2006/relationships/hyperlink" Id="rId33"/>
    <Relationship TargetMode="External" Target="https://www.legis.iowa.gov/docs/iac/rule/481.63.16.pdf" Type="http://schemas.openxmlformats.org/officeDocument/2006/relationships/hyperlink" Id="rId34"/>
    <Relationship TargetMode="External" Target="https://www.legis.iowa.gov/docs/ico/chapter/124.pdf" Type="http://schemas.openxmlformats.org/officeDocument/2006/relationships/hyperlink" Id="rId35"/>
    <Relationship TargetMode="External" Target="https://www.legis.iowa.gov/docs/iac/rule/481.63.16.pdf" Type="http://schemas.openxmlformats.org/officeDocument/2006/relationships/hyperlink" Id="rId36"/>
    <Relationship TargetMode="External" Target="https://www.legis.iowa.gov/docs/iac/rule/481.63.16.pdf" Type="http://schemas.openxmlformats.org/officeDocument/2006/relationships/hyperlink" Id="rId37"/>
    <Relationship TargetMode="External" Target="https://www.legis.iowa.gov/docs/iac/rule/481.63.16.pdf" Type="http://schemas.openxmlformats.org/officeDocument/2006/relationships/hyperlink" Id="rId38"/>
    <Relationship TargetMode="External" Target="https://www.legis.iowa.gov/docs/iac/rule/481.63.16.pdf" Type="http://schemas.openxmlformats.org/officeDocument/2006/relationships/hyperlink" Id="rId39"/>
    <Relationship TargetMode="External" Target="https://www.legis.iowa.gov/docs/ico/chapter/137F.2.pdf" Type="http://schemas.openxmlformats.org/officeDocument/2006/relationships/hyperlink" Id="rId40"/>
    <Relationship TargetMode="External" Target="https://www.legis.iowa.gov/docs/iac/rule/481.63.19.pdf" Type="http://schemas.openxmlformats.org/officeDocument/2006/relationships/hyperlink" Id="rId41"/>
    <Relationship TargetMode="External" Target="https://www.legis.iowa.gov/docs/ico/chapter/229.pdf" Type="http://schemas.openxmlformats.org/officeDocument/2006/relationships/hyperlink" Id="rId42"/>
    <Relationship TargetMode="External" Target="https://www.legis.iowa.gov/docs/ico/chapter/135C.46.pdf" Type="http://schemas.openxmlformats.org/officeDocument/2006/relationships/hyperlink" Id="rId43"/>
    <Relationship TargetMode="External" Target="https://www.legis.iowa.gov/docs/ico/chapter/144A.pdf" Type="http://schemas.openxmlformats.org/officeDocument/2006/relationships/hyperlink" Id="rId44"/>
    <Relationship TargetMode="External" Target="https://www.legis.iowa.gov/docs/ico/chapter/135C.24.pdf" Type="http://schemas.openxmlformats.org/officeDocument/2006/relationships/hyperlink" Id="rId45"/>
    <Relationship TargetMode="External" Target="https://www.legis.iowa.gov/docs/ico/chapter/135C.24.pdf" Type="http://schemas.openxmlformats.org/officeDocument/2006/relationships/hyperlink" Id="rId46"/>
    <Relationship TargetMode="External" Target="https://www.legis.iowa.gov/docs/ico/chapter/347B.5.pdf" Type="http://schemas.openxmlformats.org/officeDocument/2006/relationships/hyperlink" Id="rId47"/>
    <Relationship TargetMode="External" Target="https://www.legis.iowa.gov/docs/ico/chapter/235E.pdf" Type="http://schemas.openxmlformats.org/officeDocument/2006/relationships/hyperlink" Id="rId48"/>
    <Relationship TargetMode="External" Target="https://www.legis.iowa.gov/docs/iac/chapter/481.52.pdf" Type="http://schemas.openxmlformats.org/officeDocument/2006/relationships/hyperlink" Id="rId49"/>
    <Relationship TargetMode="External" Target="https://www.legis.iowa.gov/docs/ico/chapter/235B.16.pdf" Type="http://schemas.openxmlformats.org/officeDocument/2006/relationships/hyperlink" Id="rId50"/>
    <Relationship TargetMode="External" Target="https://www.legis.iowa.gov/docs/ico/chapter/142D.pdf" Type="http://schemas.openxmlformats.org/officeDocument/2006/relationships/hyperlink" Id="rId51"/>
    <Relationship TargetMode="External" Target="https://www.legis.iowa.gov/docs/ico/chapter/135C.pdf" Type="http://schemas.openxmlformats.org/officeDocument/2006/relationships/hyperlink" Id="rId52"/>
    <Relationship TargetMode="External" Target="https://www.legis.iowa.gov/docs/ico/chapter/17A.8.pdf" Type="http://schemas.openxmlformats.org/officeDocument/2006/relationships/hyperlink"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