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RESIDENTIAL CARE FACILITIES FOR PERSONS WITH MENTAL ILLNESS (RCFs/PMI)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481—62.1</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relates specifically to the licensing and regulation of residential care facilities for persons with mental illness (RCFs/PMI). Refer to 481—Chapter 57 for the licensing and regulation of all residential care facilities, including RCFs/PMI, and to 481—Chapter 60 for minimum physical standards for all residential care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481—Chapter 57 and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is as defined in rule 481—52.1(235E).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services” </w:t>
      </w:r>
      <w:r>
        <w:rPr>
          <w:rFonts w:ascii="Times New Roman" w:hAnsi="Times New Roman"/>
          <w:b w:val="false"/>
          <w:i w:val="false"/>
          <w:color w:val="000000"/>
          <w:sz w:val="22"/>
        </w:rPr>
        <w:t>means those activities designed to identify a person’s current level of functioning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process” </w:t>
      </w:r>
      <w:r>
        <w:rPr>
          <w:rFonts w:ascii="Times New Roman" w:hAnsi="Times New Roman"/>
          <w:b w:val="false"/>
          <w:i w:val="false"/>
          <w:color w:val="000000"/>
          <w:sz w:val="22"/>
        </w:rPr>
        <w:t xml:space="preserve">means an approach to assessment, service planning, and service implementation in which members of an interdisciplinary team utilize the skills, competencies, insights and perspectives provided by each member’s training and experience to develop a single, integrated, individual program plan to meet a resident’s needs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functioning”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illness”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disorders include the organic and functional psychoses, neuroses, personality disorders, alcoholism and drug dependence, behavioral disorders and other disorders as defined by the current edition of American Psychiatric Association Diagnostic and Statistical Manual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physiological treatment”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advanced registered nurse practitioner” </w:t>
      </w:r>
      <w:r>
        <w:rPr>
          <w:rFonts w:ascii="Times New Roman" w:hAnsi="Times New Roman"/>
          <w:b w:val="false"/>
          <w:i w:val="false"/>
          <w:color w:val="000000"/>
          <w:sz w:val="22"/>
        </w:rPr>
        <w:t xml:space="preserve">means an individual currently licensed as a registered nurse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holds a national certification in psychiatric mental health care and who is licensed by the board of nursing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nurse” </w:t>
      </w:r>
      <w:r>
        <w:rPr>
          <w:rFonts w:ascii="Times New Roman" w:hAnsi="Times New Roman"/>
          <w:b w:val="false"/>
          <w:i w:val="false"/>
          <w:color w:val="000000"/>
          <w:sz w:val="22"/>
        </w:rPr>
        <w:t xml:space="preserve">means a person who meets the requirements of a certified psychiatric nurse, is eligible for certification by the American Nursing Association, and is licensed by the state of Iowa to practice nursing as defined in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“Psychiatrist”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 or meets the requirements for eligibility for a license to practice psychology in the state of Iowa that were effective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“Psychotherapeutic treatment”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mental health professional”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“QMHP”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a psychiatrist, psychologist, social worker, certified psychiatric nurse, psychiatric advanced registered nurse practitioner, or mental health counselor;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doctor of medicine or osteopathic medicine, a physician assistant, or an advanced registered nurse practitioner and has at least one year’s documented supervised experience in providing mental health services;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master’s degree with coursework focusing on diagnosis, evaluation, and psychotherapeutic treatment of mental health problems and mental illness;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employed by a community mental health center or mental health service provider accredited by the commission and has less than a master’s degree but at least a bachelor’s degree and sufficient education and experience as determined by the chief administrative officer of the community mental health center, with the approval of the commission, with coursework and experience focusing on diagnosis and evaluation and treatment of persons with mental health problems and mental illness.</w:t>
      </w:r>
    </w:p>
    <w:p>
      <w:pPr>
        <w:spacing w:before="0" w:after="0"/>
        <w:ind w:left="120"/>
        <w:jc w:val="both"/>
      </w:pPr>
      <w:r>
        <w:rPr>
          <w:rFonts w:ascii="Times New Roman" w:hAnsi="Times New Roman"/>
          <w:b w:val="false"/>
          <w:i w:val="false"/>
          <w:color w:val="000000"/>
          <w:sz w:val="22"/>
        </w:rPr>
        <w:t xml:space="preserve">If the person is practicing in a field covered by an Iowa licensure law, the person shall hold a current Iowa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worker”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r>
        <w:rPr>
          <w:rFonts w:ascii="Times New Roman" w:hAnsi="Times New Roman"/>
          <w:b w:val="false"/>
          <w:i w:val="false"/>
          <w:color w:val="000000"/>
          <w:sz w:val="22"/>
        </w:rPr>
        <w:t>In addition to personnel requirements found in 481—Chapter 57, the RCF/PMI shall provide for services of a qualified mental health professional, by direct employment or contract, whose responsibilities shall include, but not be limited to: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Approval of each resident’s service plan;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Monitoring the implementation of each resident’s service plan;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Recording each resident’s progress; and (II,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Participating in a periodic review of each resident’s service plan.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481—62.4</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criteria. </w:t>
      </w:r>
      <w:r>
        <w:rPr>
          <w:rFonts w:ascii="Times New Roman" w:hAnsi="Times New Roman"/>
          <w:b w:val="false"/>
          <w:i w:val="false"/>
          <w:color w:val="000000"/>
          <w:sz w:val="22"/>
        </w:rPr>
        <w:t>In addition to admission criteria found in 481—Chapter 57, the facility’s admission criteria shall include but not be limited to age, sex, diagnosis from the American Psychiatric Association Diagnostic and Statistical Manual of Mental Disorders, substance abuse, dual diagnosis and criteria that are consistent with the résumé of care.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481—62.5</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Evaluation services shall be provided to each resident. An annual evaluation of each resident shall be completed no later than 12 months from the date of the last available evaluation. For residents who are on leave from a state mental health institution, the institution shall be responsible for the completion of the evaluation. The facility shall ensure the completion of the evaluation of all other residents. The annual evaluation shall identify physical health and current level of functioning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 in identification of current illness and disabilities and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an evaluation of the resident’s ability for health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performed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w:t>
      </w:r>
      <w:r>
        <w:rPr>
          <w:rFonts w:ascii="Times New Roman" w:hAnsi="Times New Roman"/>
          <w:b w:val="false"/>
          <w:i w:val="false"/>
          <w:color w:val="000000"/>
          <w:sz w:val="22"/>
        </w:rPr>
        <w:t> </w:t>
      </w:r>
      <w:r>
        <w:rPr>
          <w:rFonts w:ascii="Times New Roman" w:hAnsi="Times New Roman"/>
          <w:b w:val="false"/>
          <w:i w:val="false"/>
          <w:color w:val="000000"/>
          <w:sz w:val="22"/>
        </w:rPr>
        <w:t>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to identify the resident’s current level of functioning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resident’s level of functioning and need for services in each of the following areas: self-care, community living skills, psychotherapeutic treatment, vocational skills, and academic skills.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of sufficient detail to determine the appropriateness of placement according to the skills and needs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in consultation with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evaluation is available from the referral source, the evaluation shall be secured by the facility prior to the admission of the applicant.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evaluation is not available or does not contain all the required information, the facility shall ensure an evaluation to the extent necessary to determine if the applicant meets the criteria for admission. For those admitted, the remainder of the evaluation shall be performed prior to the development of a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the resident’s record. Evaluations subsequent to the initial evaluation shall be performed in sufficient detail to determine changes in the resident’s physical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62.5(4)</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and approved by the qualified mental health professional prior to the development of the service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social history was secured from another provider, the information contained shall be reviewed within 30 days of admission. The date of the review, signature of the staff reviewing the history, and a summary of significant changes in the information shall be entered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information contained within the social history shall be incorporated into the service plan progress note.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minimally address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previous services received and summary of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summary of significant medical conditions including, but not limited to, illnesses, hospitalizations, past and current drug therapies,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and ethnic background and religious affiliation,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4/14/89, Notice 2/8/89—published 5/3/89, effective 6/7/89]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3739C</w:t>
      </w:r>
      <w:r>
        <w:rPr>
          <w:rFonts w:ascii="Times New Roman" w:hAnsi="Times New Roman"/>
          <w:b w:val="false"/>
          <w:i w:val="false"/>
          <w:color w:val="000000"/>
          <w:sz w:val="21"/>
        </w:rPr>
        <w:t xml:space="preserve"> (Notice ARC 3474C, IAB 12/6/17)</w:t>
      </w:r>
      <w:r>
        <w:rPr>
          <w:rFonts w:ascii="Times New Roman" w:hAnsi="Times New Roman"/>
          <w:b w:val="false"/>
          <w:i w:val="false"/>
          <w:color w:val="000000"/>
          <w:sz w:val="21"/>
        </w:rPr>
        <w:t>, IAB 4/11/18, effective 5/16/18]</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52E.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35C.1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