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MINIMUM PHYSICAL STANDARDS FOR NURSING FACILITIES</w:t>
      </w:r>
    </w:p>
    <w:p>
      <w:pPr>
        <w:spacing w:before="0" w:after="0"/>
        <w:ind w:left="120"/>
        <w:jc w:val="center"/>
      </w:pPr>
      <w:r>
        <w:rPr>
          <w:rFonts w:ascii="Times New Roman" w:hAnsi="Times New Roman"/>
          <w:b w:val="false"/>
          <w:i w:val="false"/>
          <w:color w:val="000000"/>
          <w:sz w:val="14"/>
        </w:rPr>
        <w:t>[Prior to 7/15/87, Health Department[470]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481—61.1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 </w:t>
      </w:r>
      <w:hyperlink r:id="rId5">
        <w:r>
          <w:rPr>
            <w:rStyle w:val="Hyperlink"/>
            <w:rFonts w:ascii="Times New Roman" w:hAnsi="Times New Roman"/>
            <w:b w:val="false"/>
            <w:i w:val="false"/>
            <w:color w:val="000000"/>
            <w:sz w:val="22"/>
          </w:rPr>
          <w:t>481—58.1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6">
        <w:r>
          <w:rPr>
            <w:rStyle w:val="Hyperlink"/>
            <w:rFonts w:ascii="Times New Roman" w:hAnsi="Times New Roman"/>
            <w:b w:val="false"/>
            <w:i w:val="false"/>
            <w:color w:val="000000"/>
            <w:sz w:val="22"/>
          </w:rPr>
          <w:t>481—61.3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Nursing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project is in compliance with the provisions of </w:t>
      </w:r>
      <w:hyperlink r:id="rId8">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State Building Code— 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nursing facility from compliance with fire and building codes, ordinances and regulations which are enforced by city, county, state or federal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val="false"/>
          <w:color w:val="000000"/>
          <w:sz w:val="22"/>
        </w:rPr>
        <w:t>New equipment. 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which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val="false"/>
          <w:color w:val="000000"/>
          <w:sz w:val="22"/>
        </w:rPr>
        <w:t>Existing nursing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481—61.3(135C) on or after July 1, 2013, which shall meet the standards specified in this chapter. Conversion of a building or any of the parts not currently licensed as a nursing facility must meet the rules governing construction of new facilities, except as provided in Life Safety Code, 2000 edition, sections 18.1.1.4.4 and 19.1.1.4.4.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0">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1">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2">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4">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5">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6">
        <w:r>
          <w:rPr>
            <w:rStyle w:val="Hyperlink"/>
            <w:rFonts w:ascii="Times New Roman" w:hAnsi="Times New Roman"/>
            <w:b w:val="false"/>
            <w:i w:val="false"/>
            <w:color w:val="000000"/>
            <w:sz w:val="22"/>
          </w:rPr>
          <w:t>481—61.4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7">
        <w:r>
          <w:rPr>
            <w:rStyle w:val="Hyperlink"/>
            <w:rFonts w:ascii="Times New Roman" w:hAnsi="Times New Roman"/>
            <w:b w:val="false"/>
            <w:i w:val="false"/>
            <w:color w:val="000000"/>
            <w:sz w:val="22"/>
          </w:rPr>
          <w:t>481—58.2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Certain resident populations, conditions in the area, or the site may justify waivers. In specific cases, waivers to the rules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shall offer improved or compensating features which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shall offer equivalent durability, utility, safety, structural strength and rigidity, sanitation, odor control, protection from corrosion, decay and insect attack, and quality of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shall not be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Variations are limited to the specific project under consideration and shall not be construed as establishing a precedent for similar acceptance in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occupancy and function of the building shall be considered;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licensure shall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8">
        <w:r>
          <w:rPr>
            <w:rStyle w:val="Hyperlink"/>
            <w:rFonts w:ascii="Times New Roman" w:hAnsi="Times New Roman"/>
            <w:b w:val="false"/>
            <w:i w:val="false"/>
            <w:color w:val="000000"/>
            <w:sz w:val="22"/>
          </w:rPr>
          <w:t>481—58.3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written approval from the state fire marshal’s office before starting construction. The applicant is responsible for ensuring that construction proceeds according to approved plans and specifications. If construction is not started within 12 months of the date of final approval of the working drawings and specifications, the approval shall be void and the plans and specifications shall be resubmitted. Multiphase projects shall be completed within a time period approved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Five days prior to a final occupancy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r>
        <w:rPr>
          <w:rFonts w:ascii="Times New Roman" w:hAnsi="Times New Roman"/>
          <w:b w:val="false"/>
          <w:i w:val="false"/>
          <w:color w:val="000000"/>
          <w:sz w:val="22"/>
        </w:rPr>
        <w:t>This rule contains construction requirements for all areas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19">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nursing facility is in compliance with the provisions of </w:t>
      </w:r>
      <w:hyperlink r:id="rId20">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1">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xml:space="preserve">, State Building Code—General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Projects shall be constructed in compliance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rule </w:t>
      </w:r>
      <w:hyperlink r:id="rId23">
        <w:r>
          <w:rPr>
            <w:rStyle w:val="Hyperlink"/>
            <w:rFonts w:ascii="Times New Roman" w:hAnsi="Times New Roman"/>
            <w:b w:val="false"/>
            <w:i w:val="false"/>
            <w:color w:val="000000"/>
            <w:sz w:val="22"/>
          </w:rPr>
          <w:t>661—301.4</w:t>
        </w:r>
      </w:hyperlink>
      <w:r>
        <w:rPr>
          <w:rFonts w:ascii="Times New Roman" w:hAnsi="Times New Roman"/>
          <w:b w:val="false"/>
          <w:i w:val="false"/>
          <w:color w:val="000000"/>
          <w:sz w:val="22"/>
        </w:rPr>
        <w:t>(103A). Projects meeting the local mechanical code shall be deemed to be in compliance with the state mechanical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rule </w:t>
      </w:r>
      <w:hyperlink r:id="rId25">
        <w:r>
          <w:rPr>
            <w:rStyle w:val="Hyperlink"/>
            <w:rFonts w:ascii="Times New Roman" w:hAnsi="Times New Roman"/>
            <w:b w:val="false"/>
            <w:i w:val="false"/>
            <w:color w:val="000000"/>
            <w:sz w:val="22"/>
          </w:rPr>
          <w:t>661—301.5</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6">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State Building Code—Accessibility of Buildings and Facilities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w:t>
      </w:r>
      <w:r>
        <w:rPr>
          <w:rFonts w:ascii="Times New Roman" w:hAnsi="Times New Roman"/>
          <w:b w:val="false"/>
          <w:i w:val="false"/>
          <w:color w:val="000000"/>
          <w:sz w:val="22"/>
        </w:rPr>
        <w:t> </w:t>
      </w:r>
      <w:r>
        <w:rPr>
          <w:rFonts w:ascii="Times New Roman" w:hAnsi="Times New Roman"/>
          <w:b w:val="false"/>
          <w:i/>
          <w:color w:val="000000"/>
          <w:sz w:val="22"/>
        </w:rPr>
        <w:t xml:space="preserve">Lighting requirements. </w:t>
      </w:r>
      <w:r>
        <w:rPr>
          <w:rFonts w:ascii="Times New Roman" w:hAnsi="Times New Roman"/>
          <w:b w:val="false"/>
          <w:i w:val="false"/>
          <w:color w:val="000000"/>
          <w:sz w:val="22"/>
        </w:rPr>
        <w:t>Light shall be provided in the areas of the building as required in the Guidelines for Design and Construction of Residential Health, Care, and Support Facilities, 2018 edition, published by the Facilities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w:t>
      </w:r>
      <w:r>
        <w:rPr>
          <w:rFonts w:ascii="Times New Roman" w:hAnsi="Times New Roman"/>
          <w:b w:val="false"/>
          <w:i w:val="false"/>
          <w:color w:val="000000"/>
          <w:sz w:val="22"/>
        </w:rPr>
        <w:t> </w:t>
      </w:r>
      <w:r>
        <w:rPr>
          <w:rFonts w:ascii="Times New Roman" w:hAnsi="Times New Roman"/>
          <w:b w:val="false"/>
          <w:i/>
          <w:color w:val="000000"/>
          <w:sz w:val="22"/>
        </w:rPr>
        <w:t xml:space="preserve">Exit door alarm system. </w:t>
      </w:r>
      <w:r>
        <w:rPr>
          <w:rFonts w:ascii="Times New Roman" w:hAnsi="Times New Roman"/>
          <w:b w:val="false"/>
          <w:i w:val="false"/>
          <w:color w:val="000000"/>
          <w:sz w:val="22"/>
        </w:rPr>
        <w:t>An exit door alarm system shall be installed on all exterior doors.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A seclusion room may be used in an intermediate care facility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When a seclusion room is used, it must meet the following standards. A seclusion room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located where direct care staff can provide direct supervision;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only one door which swings out but does not swing into a corridor;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only locking devices that are approved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unbreakable, fire-safe vision panels arranged to permit observation of the resident. The arrangement shall ensure resident privacy and prevent casual observation by visitors or other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 only one resident at a time;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an area of at least 60 square feet, but not more than 100 square feet;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constructed to protect against the possibility of hiding, escape, injury and suicide;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construction of the room area, including floor, walls, ceilings, and all openings, approved in writing by the state fire marshal prior to construction or alteration of a room. Padding materials, if used, shall be approved in writing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Contain only vandal- and tamper-resistant fixtures and hardware;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Contain no electrical receptacles;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Contain an exhaust ventilation system with a fan located at the discharge end of the system, with exhaust discharging to the outside;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Have electrical switches for the light and exhaust ventilation systems installed outside the room;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Have an emergency call system for staff located outside the room near the observation window;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 built with materials that are easily maintained and sanitized.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Dietetic and other service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r>
        <w:rPr>
          <w:rFonts w:ascii="Times New Roman" w:hAnsi="Times New Roman"/>
          <w:b w:val="false"/>
          <w:i w:val="false"/>
          <w:color w:val="000000"/>
          <w:sz w:val="22"/>
        </w:rPr>
        <w:t xml:space="preserve">The construction and installation of equipment of the dietetic service area shall comply with the requirements of the Food and Drug Administration Food Code adopted under provisions of Iowa Code section </w:t>
      </w:r>
      <w:hyperlink r:id="rId2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r>
        <w:rPr>
          <w:rFonts w:ascii="Times New Roman" w:hAnsi="Times New Roman"/>
          <w:b w:val="false"/>
          <w:i w:val="false"/>
          <w:color w:val="000000"/>
          <w:sz w:val="22"/>
        </w:rPr>
        <w:t>General storage areas totaling not less than 14 square feet per bed shall be provided. If each resident has a 4-foot wide closet in the bedroom, the general storage area per bed may be reduced from 14 square feet to 10 square feet per bed. Storage areas are not required to be located in only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activities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if the building is easily accessible to personnel.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481—61.9</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(CCDI unit or facility). </w:t>
      </w:r>
      <w:r>
        <w:rPr>
          <w:rFonts w:ascii="Times New Roman" w:hAnsi="Times New Roman"/>
          <w:b w:val="false"/>
          <w:i w:val="false"/>
          <w:color w:val="000000"/>
          <w:sz w:val="22"/>
        </w:rPr>
        <w:t>A CCDI unit or facility shall be designed in accordance with the standards set forth in the Guidelines for Design and Construction of Residential Health, Care, and Support Facilities, 2018 edition, published by the Facility Guidelines Institute. The following provisions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val="false"/>
          <w:color w:val="000000"/>
          <w:sz w:val="22"/>
        </w:rPr>
        <w:t>A CCDI unit or facility shall be designed so that residents, staff and visitors will not pass through the unit in order to reach exits or other areas of the facility unless in an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val="false"/>
          <w:color w:val="000000"/>
          <w:sz w:val="22"/>
        </w:rPr>
        <w:t>The outdoor activity area for the unit or facility shall be secure. Nontoxic plants shall be used in the secured outdoor activity area.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val="false"/>
          <w:color w:val="000000"/>
          <w:sz w:val="22"/>
        </w:rPr>
        <w:t>There shall be no steps inside the CCDI unit or freestanding CCDI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61.9(5)</w:t>
      </w:r>
      <w:r>
        <w:rPr>
          <w:rFonts w:ascii="Times New Roman" w:hAnsi="Times New Roman"/>
          <w:b w:val="false"/>
          <w:i w:val="false"/>
          <w:color w:val="000000"/>
          <w:sz w:val="22"/>
        </w:rPr>
        <w:t> </w:t>
      </w:r>
      <w:r>
        <w:rPr>
          <w:rFonts w:ascii="Times New Roman" w:hAnsi="Times New Roman"/>
          <w:b w:val="false"/>
          <w:i w:val="false"/>
          <w:color w:val="000000"/>
          <w:sz w:val="22"/>
        </w:rPr>
        <w:t>Dining and activity areas for the unit or facility shall be located within the unit or facility and shall not be used as the primary dining or activity area by other facility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61.9(6)</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to allow nurses to prepare daily resident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61.9(7)</w:t>
      </w:r>
      <w:r>
        <w:rPr>
          <w:rFonts w:ascii="Times New Roman" w:hAnsi="Times New Roman"/>
          <w:b w:val="false"/>
          <w:i w:val="false"/>
          <w:color w:val="000000"/>
          <w:sz w:val="22"/>
        </w:rPr>
        <w:t> </w:t>
      </w:r>
      <w:r>
        <w:rPr>
          <w:rFonts w:ascii="Times New Roman" w:hAnsi="Times New Roman"/>
          <w:b w:val="false"/>
          <w:i w:val="false"/>
          <w:color w:val="000000"/>
          <w:sz w:val="22"/>
        </w:rPr>
        <w:t>If the lounge and activity areas are not adjacent to resident rooms, there shall be in clear view of the lounge and activity area one unisex resident toilet room for each ten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0763C</w:t>
      </w:r>
      <w:r>
        <w:rPr>
          <w:rFonts w:ascii="Times New Roman" w:hAnsi="Times New Roman"/>
          <w:b w:val="false"/>
          <w:i w:val="false"/>
          <w:color w:val="000000"/>
          <w:sz w:val="21"/>
        </w:rPr>
        <w:t xml:space="preserve"> (Notice ARC 0514C, IAB 12/12/12)</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4264C</w:t>
      </w:r>
      <w:r>
        <w:rPr>
          <w:rFonts w:ascii="Times New Roman" w:hAnsi="Times New Roman"/>
          <w:b w:val="false"/>
          <w:i w:val="false"/>
          <w:color w:val="000000"/>
          <w:sz w:val="21"/>
        </w:rPr>
        <w:t xml:space="preserve"> (Notice ARC 4162C,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8.1.pdf" Type="http://schemas.openxmlformats.org/officeDocument/2006/relationships/hyperlink" Id="rId5"/>
    <Relationship TargetMode="External" Target="https://www.legis.iowa.gov/docs/iac/rule/481.61.3.pdf" Type="http://schemas.openxmlformats.org/officeDocument/2006/relationships/hyperlink" Id="rId6"/>
    <Relationship TargetMode="External" Target="https://www.legis.iowa.gov/docs/iac/chapter/661.205.pdf" Type="http://schemas.openxmlformats.org/officeDocument/2006/relationships/hyperlink" Id="rId7"/>
    <Relationship TargetMode="External" Target="https://www.legis.iowa.gov/docs/iac/chapter/661.205.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661.300.4.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pdf" Type="http://schemas.openxmlformats.org/officeDocument/2006/relationships/hyperlink" Id="rId13"/>
    <Relationship TargetMode="External" Target="https://www.legis.iowa.gov/docs/ico/chapter/544A.18.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rule/481.61.4.pdf" Type="http://schemas.openxmlformats.org/officeDocument/2006/relationships/hyperlink" Id="rId16"/>
    <Relationship TargetMode="External" Target="https://www.legis.iowa.gov/docs/iac/rule/481.58.2.pdf" Type="http://schemas.openxmlformats.org/officeDocument/2006/relationships/hyperlink" Id="rId17"/>
    <Relationship TargetMode="External" Target="https://www.legis.iowa.gov/docs/iac/rule/481.58.3.pdf" Type="http://schemas.openxmlformats.org/officeDocument/2006/relationships/hyperlink" Id="rId18"/>
    <Relationship TargetMode="External" Target="https://www.legis.iowa.gov/docs/iac/chapter/661.205.pdf" Type="http://schemas.openxmlformats.org/officeDocument/2006/relationships/hyperlink" Id="rId19"/>
    <Relationship TargetMode="External" Target="https://www.legis.iowa.gov/docs/iac/chapter/661.205.pdf" Type="http://schemas.openxmlformats.org/officeDocument/2006/relationships/hyperlink" Id="rId20"/>
    <Relationship TargetMode="External" Target="https://www.legis.iowa.gov/docs/iac/chapter/661.301.pdf" Type="http://schemas.openxmlformats.org/officeDocument/2006/relationships/hyperlink" Id="rId21"/>
    <Relationship TargetMode="External" Target="https://www.legis.iowa.gov/docs/iac/chapter/661.205.pdf" Type="http://schemas.openxmlformats.org/officeDocument/2006/relationships/hyperlink" Id="rId22"/>
    <Relationship TargetMode="External" Target="https://www.legis.iowa.gov/docs/iac/rule/661.301.4.pdf" Type="http://schemas.openxmlformats.org/officeDocument/2006/relationships/hyperlink" Id="rId23"/>
    <Relationship TargetMode="External" Target="https://www.legis.iowa.gov/docs/iac/chapter/661.205.pdf" Type="http://schemas.openxmlformats.org/officeDocument/2006/relationships/hyperlink" Id="rId24"/>
    <Relationship TargetMode="External" Target="https://www.legis.iowa.gov/docs/iac/rule/661.301.5.pdf" Type="http://schemas.openxmlformats.org/officeDocument/2006/relationships/hyperlink" Id="rId25"/>
    <Relationship TargetMode="External" Target="https://www.legis.iowa.gov/docs/iac/chapter/481.425.pdf" Type="http://schemas.openxmlformats.org/officeDocument/2006/relationships/hyperlink" Id="rId26"/>
    <Relationship TargetMode="External" Target="https://www.legis.iowa.gov/docs/iac/chapter/661.302.pdf" Type="http://schemas.openxmlformats.org/officeDocument/2006/relationships/hyperlink" Id="rId27"/>
    <Relationship TargetMode="External" Target="https://www.legis.iowa.gov/docs/ico/chapter/137F.2.pdf" Type="http://schemas.openxmlformats.org/officeDocument/2006/relationships/hyperlink" Id="rId28"/>
    <Relationship TargetMode="External" Target="https://www.legis.iowa.gov/docs/ico/chapter/135C.14.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