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UNIFORM 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481—6.1</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department. The intent of this chapter is to allow persons to seek exceptions to the application of rules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“Attached units” </w:t>
      </w:r>
      <w:r>
        <w:rPr>
          <w:rFonts w:ascii="Times New Roman" w:hAnsi="Times New Roman"/>
          <w:b w:val="false"/>
          <w:i w:val="false"/>
          <w:color w:val="000000"/>
          <w:sz w:val="22"/>
        </w:rPr>
        <w:t>means units attached to the department and includes the employment appeal board, child advocacy board, racing and gaming commission, and state public defender’s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inspections and appeals authorized by Iowa Code chapter </w:t>
      </w:r>
      <w:hyperlink r:id="rId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which is comprised of the administrative division, administrative hearings division, audits division, health facilities division, inspections division and investigations division. Pursuant to Iowa Code section </w:t>
      </w:r>
      <w:hyperlink r:id="rId6">
        <w:r>
          <w:rPr>
            <w:rStyle w:val="Hyperlink"/>
            <w:rFonts w:ascii="Times New Roman" w:hAnsi="Times New Roman"/>
            <w:b w:val="false"/>
            <w:i w:val="false"/>
            <w:color w:val="000000"/>
            <w:sz w:val="22"/>
          </w:rPr>
          <w:t>7E.2(5)</w:t>
        </w:r>
      </w:hyperlink>
      <w:r>
        <w:rPr>
          <w:rFonts w:ascii="Times New Roman" w:hAnsi="Times New Roman"/>
          <w:b w:val="false"/>
          <w:i w:val="false"/>
          <w:color w:val="000000"/>
          <w:sz w:val="22"/>
        </w:rPr>
        <w:t>, five attached units are included in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and appeals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“Director/board” </w:t>
      </w:r>
      <w:r>
        <w:rPr>
          <w:rFonts w:ascii="Times New Roman" w:hAnsi="Times New Roman"/>
          <w:b w:val="false"/>
          <w:i w:val="false"/>
          <w:color w:val="000000"/>
          <w:sz w:val="22"/>
        </w:rPr>
        <w:t xml:space="preserve">means the director, board, commission or state public defender depending on which one has the decision-making authority pursuant to Iowa Code chapter </w:t>
      </w:r>
      <w:hyperlink r:id="rId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7E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association, or any legal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5670C</w:t>
      </w:r>
      <w:r>
        <w:rPr>
          <w:rFonts w:ascii="Times New Roman" w:hAnsi="Times New Roman"/>
          <w:b w:val="false"/>
          <w:i w:val="false"/>
          <w:color w:val="000000"/>
          <w:sz w:val="16"/>
        </w:rPr>
        <w:t>, IAB 6/2/21,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481—6.3</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Interpretive rules. </w:t>
      </w:r>
      <w:r>
        <w:rPr>
          <w:rFonts w:ascii="Times New Roman" w:hAnsi="Times New Roman"/>
          <w:b w:val="false"/>
          <w:i w:val="false"/>
          <w:color w:val="000000"/>
          <w:sz w:val="22"/>
        </w:rPr>
        <w:t>This chapter shall not apply to rules that merely define the meaning of a statute or other provision of law or precedent if the department does not possess delegated authority to bind the courts to any extent with its definition.</w:t>
      </w:r>
    </w:p>
    <w:p>
      <w:pPr>
        <w:spacing w:before="0" w:after="0"/>
        <w:ind w:left="120"/>
        <w:jc w:val="both"/>
      </w:pPr>
      <w:r>
        <w:rPr>
          <w:rFonts w:ascii="Times New Roman" w:hAnsi="Times New Roman"/>
          <w:b/>
          <w:i w:val="false"/>
          <w:color w:val="000000"/>
          <w:sz w:val="22"/>
        </w:rPr>
        <w:t>481—6.4</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Compliance with statute. </w:t>
      </w:r>
      <w:r>
        <w:rPr>
          <w:rFonts w:ascii="Times New Roman" w:hAnsi="Times New Roman"/>
          <w:b w:val="false"/>
          <w:i w:val="false"/>
          <w:color w:val="000000"/>
          <w:sz w:val="22"/>
        </w:rPr>
        <w:t>The department shall not grant a petition for waiver from a rule unless a statute or other provision of law has delegated authority to the department sufficient to justify that action and the waiver is consistent with the statute or other provision of law. No waiver may be granted from a requirement that is imposed by statute, unless the statute itself specifically authorizes that action. Any waiver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At the sole discretion of the director/board, the director/board may issue an order, in response to a completed petition, granting a waiver from a rule adopted by the department, in whole or in part, as applied to the circumstances of a specified person or a specific and narrowly drawn class of persons if the director/board finds based on clear and convincing evidence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to the petitioner would pose an undue hardship on the person or class of persons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a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a rule subject to a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Department of Inspections and Appeals, Office of the Director, Lucas State Office Building, 321 East 12th Street, Des Moines, Iowa 50319. If the petition relates to a pending contested case, the petition shall also be filed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481—6.7</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department and the petitioner relating to the regulated activity, license, appeal, hearing, audit, investigation, inspection, representation or other assigned function of the department that would be affected by the proposed waiver, including a description of each regulated activity, license, appeal, hearing, audit, investigation, inspection, representation or other assigned function of the department, any notices of violation, contested case hearings, or investigative reports relating to the regulated activity, license, appeal, hearing, audit, investigation, inspection, representation or other assigned function of the department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department’s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481—6.8</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department may request additional information from the petitioner relative to the petition and surrounding circumstances. If the petition was not filed in a contested case, the department may, on its own motion or at the petitioner’s request, schedule a telephonic or in-person meeting between the petitioner and the department or department’s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481—6.9</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Notice. </w:t>
      </w:r>
      <w:r>
        <w:rPr>
          <w:rFonts w:ascii="Times New Roman" w:hAnsi="Times New Roman"/>
          <w:b w:val="false"/>
          <w:i w:val="false"/>
          <w:color w:val="000000"/>
          <w:sz w:val="22"/>
        </w:rPr>
        <w:t>The department shall acknowledge a petition upon receipt. The department shall ensure that notice of the pendency of the petition and a concise summary of its contents have been provided to all persons to whom notice is required by any provision of law within 30 days of the receipt of the petition. In addition, the department may give notice to other persons. To accomplish this notice provision, the department may require the petitioner to serve the notice on all persons to whom notice is required by any provision of law and provide a written statement to the department attesting that notice has been provided.</w:t>
      </w:r>
    </w:p>
    <w:p>
      <w:pPr>
        <w:spacing w:before="0" w:after="0"/>
        <w:ind w:left="120"/>
        <w:jc w:val="both"/>
      </w:pPr>
      <w:r>
        <w:rPr>
          <w:rFonts w:ascii="Times New Roman" w:hAnsi="Times New Roman"/>
          <w:b/>
          <w:i w:val="false"/>
          <w:color w:val="000000"/>
          <w:sz w:val="22"/>
        </w:rPr>
        <w:t>481—6.10</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9">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of rule filed within a contested case and shall otherwise apply to agency proceedings for a waiver only when the department so provides by rule or order or is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481—6.11</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Director/board discretion. </w:t>
      </w:r>
      <w:r>
        <w:rPr>
          <w:rFonts w:ascii="Times New Roman" w:hAnsi="Times New Roman"/>
          <w:b w:val="false"/>
          <w:i w:val="false"/>
          <w:color w:val="000000"/>
          <w:sz w:val="22"/>
        </w:rPr>
        <w:t>The decision on whether the circumstances justify the granting of a waiver shall be made at the discretion of the director upon consideration of all relevant factors, except for the below-listed programs, for which the applicable board, commission or state public defender shall make the decision,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Employment appeal board, </w:t>
      </w:r>
      <w:hyperlink r:id="rId10">
        <w:r>
          <w:rPr>
            <w:rStyle w:val="Hyperlink"/>
            <w:rFonts w:ascii="Times New Roman" w:hAnsi="Times New Roman"/>
            <w:b w:val="false"/>
            <w:i w:val="false"/>
            <w:color w:val="000000"/>
            <w:sz w:val="22"/>
          </w:rPr>
          <w:t>486—Chapter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advocacy board, </w:t>
      </w:r>
      <w:hyperlink r:id="rId11">
        <w:r>
          <w:rPr>
            <w:rStyle w:val="Hyperlink"/>
            <w:rFonts w:ascii="Times New Roman" w:hAnsi="Times New Roman"/>
            <w:b w:val="false"/>
            <w:i w:val="false"/>
            <w:color w:val="000000"/>
            <w:sz w:val="22"/>
          </w:rPr>
          <w:t>489—Chapter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Racing and gaming commission, </w:t>
      </w:r>
      <w:hyperlink r:id="rId12">
        <w:r>
          <w:rPr>
            <w:rStyle w:val="Hyperlink"/>
            <w:rFonts w:ascii="Times New Roman" w:hAnsi="Times New Roman"/>
            <w:b w:val="false"/>
            <w:i w:val="false"/>
            <w:color w:val="000000"/>
            <w:sz w:val="22"/>
          </w:rPr>
          <w:t>491—Chapter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public defender’s office, </w:t>
      </w:r>
      <w:hyperlink r:id="rId13">
        <w:r>
          <w:rPr>
            <w:rStyle w:val="Hyperlink"/>
            <w:rFonts w:ascii="Times New Roman" w:hAnsi="Times New Roman"/>
            <w:b w:val="false"/>
            <w:i w:val="false"/>
            <w:color w:val="000000"/>
            <w:sz w:val="22"/>
          </w:rPr>
          <w:t>493—Chapter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petitioner has the burden of persuasion when a petition is filed for a waiver from a department rule. The standard of proof is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This chapter shall not preclude the department from granting waivers in other contexts or on the basis of other standards if a statute authorizes the department to do so and the department deems it appropriate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director/board shall balance the special individual circumstances of the petitioner with the overall goal of uniform treatment of all persons similarly situated.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director/board may condition the granting of the waiver on such reasonable conditions as appropriate to achieve the objectives of the particular rule in question through alternative means and in compliance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petition for a waiver shall be evaluated by the department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waiver, if granted, shall be drafted by the department so as to provide the narrowest exception possible to the provisions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place on a waiver a condition that the department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waiver shall not be permanent, unless the petitioner can show that a temporary waiver would be impracticable;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temporary waiver is granted, there is no automatic right to renewal. At the sole discretion of the department, a waiver may be renewed if the department finds that all of the factors set out in rule 481—</w:t>
      </w:r>
      <w:hyperlink r:id="rId14">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(10A,17A,ExecOrd11) remain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director/board shall grant or deny a petition for a waiver as soon as practicable but, in any event, shall do so within 120 days of its receipt, unless the petitioner agrees to a later date. However, if a petition is filed in a contested case, the director/board has the discretion to wait until the contested case is resolved before entering an order on the petition for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director/board to grant or deny a petition within the required time period shall be deemed a denial of that petition by the director/board.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481—6.12</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Public 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provisions of Iowa Code section </w:t>
      </w:r>
      <w:hyperlink r:id="rId1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department shall maintain a record of all orders granting or denying waivers under this chapter. All final rulings in response to requests for waivers shall be indexed and available to members of the public at the director’s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Within 60 days of granting or denying a waiver, the department must make a submission on the Internet site established pursuant to Iowa Code section 17A.9A for the submission of waiver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submission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rules for which a waiver has been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the number of times a waiver was granted or denied for each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a citation to the statutory provisions implemented by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a general summary of the reasons justifying the department’s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extent practicable, the department shall include information detailing the extent to which the granting of a waiver has established a precedent for additional waivers and the extent to which the granting of a waiver has affected the general applicability of the rule itself.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481—6.13</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 void if the material facts upon which the request is based are not true or if material facts have been withheld. The director/board may at any time cancel a waiver upon appropriate notice and hearing if the director/board finds that the facts as stated in the request are not true, material facts have been withheld, the alternative means of compliance provided in the waiver have failed to achieve the objectives of the statute, or the requester has failed to comply with the conditions of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481—6.14</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director/board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request for an appeal from a decision granting or denying a waiver shall be in accordance with the procedures provided in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rules adopted by the department. An appeal shall be taken within 30 days of the issuance of the ruling in response to the request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w:t>
      </w:r>
      <w:r>
        <w:rPr>
          <w:rFonts w:ascii="Times New Roman" w:hAnsi="Times New Roman"/>
          <w:b/>
          <w:i w:val="false"/>
          <w:color w:val="000000"/>
          <w:sz w:val="22"/>
        </w:rPr>
        <w:t xml:space="preserve">(10A,17A,ExecOrd11) </w:t>
      </w:r>
      <w:r>
        <w:rPr>
          <w:rFonts w:ascii="Times New Roman" w:hAnsi="Times New Roman"/>
          <w:b/>
          <w:i w:val="false"/>
          <w:color w:val="000000"/>
          <w:sz w:val="22"/>
        </w:rPr>
        <w:t xml:space="preserve">Sample petition for waiver. </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DEPARTMENT OF INSPECTIONS AND APPEALS</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(insert the name of petitioner)</w:t>
            </w:r>
          </w:p>
          <w:p>
            <w:pPr>
              <w:spacing w:before="0" w:after="0"/>
              <w:ind w:left="160"/>
              <w:jc w:val="left"/>
            </w:pPr>
            <w:r>
              <w:rPr>
                <w:rFonts w:ascii="Times New Roman" w:hAnsi="Times New Roman"/>
                <w:b w:val="false"/>
                <w:i w:val="false"/>
                <w:color w:val="000000"/>
                <w:sz w:val="16"/>
              </w:rPr>
              <w:t>for the 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PETITION FOR WAIVER</w:t>
            </w:r>
          </w:p>
        </w:tc>
      </w:tr>
    </w:tbl>
    <w:p>
      <w:pPr>
        <w:spacing w:before="0" w:after="0"/>
        <w:ind w:left="120"/>
        <w:jc w:val="both"/>
      </w:pPr>
      <w:r>
        <w:rPr>
          <w:rFonts w:ascii="Times New Roman" w:hAnsi="Times New Roman"/>
          <w:b w:val="false"/>
          <w:i w:val="false"/>
          <w:color w:val="000000"/>
          <w:sz w:val="22"/>
        </w:rPr>
        <w:t>Include the following information in the petition for waiver where applicable and known: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the petitioner’s (the person that is asking for the waiver)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Include the exact scope and time period that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important facts that the petitioner believes justify the waiver. Include in your explanation (a) why application of the rule would pose an undue hardship to the petitioner; (b) why granting the waiver would not prejudice the substantial legal rights of any person; (c) state whether the provisions of a rule subject to this petition are specifically mandated by statute or another provision of law; and (d) state whether public health, safety and welfare will be affected if the requested waiver is granted.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history of prior contacts between the department and the petitioner relating to the regulated activity, license, audit, investigation, inspection or representation that would be affected by the waiver. In that history, include a description of each affected regulated activity, license, appeal, hearing, audit, investigation, inspection, representation or other assigned function of the department, any notices of violation, contested case hearings, or investigative reports relating to the regulated activity, license, appeal, hearing, audit, investigation, inspection, representation or other assigned function of the department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department’s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11</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4/12/01, Notice 1/24/01—published 5/2/01, effective 6/6/01]</w:t>
      </w:r>
    </w:p>
    <w:p>
      <w:pPr>
        <w:spacing w:before="0" w:after="0"/>
        <w:ind w:left="120"/>
        <w:jc w:val="center"/>
      </w:pPr>
      <w:r>
        <w:rPr>
          <w:rFonts w:ascii="Times New Roman" w:hAnsi="Times New Roman"/>
          <w:b w:val="false"/>
          <w:i w:val="false"/>
          <w:color w:val="000000"/>
          <w:sz w:val="21"/>
        </w:rPr>
        <w:t>[Filed ARC 5670C</w:t>
      </w:r>
      <w:r>
        <w:rPr>
          <w:rFonts w:ascii="Times New Roman" w:hAnsi="Times New Roman"/>
          <w:b w:val="false"/>
          <w:i w:val="false"/>
          <w:color w:val="000000"/>
          <w:sz w:val="21"/>
        </w:rPr>
        <w:t xml:space="preserve"> (Notice ARC 5551C, IAB 4/7/21)</w:t>
      </w:r>
      <w:r>
        <w:rPr>
          <w:rFonts w:ascii="Times New Roman" w:hAnsi="Times New Roman"/>
          <w:b w:val="false"/>
          <w:i w:val="false"/>
          <w:color w:val="000000"/>
          <w:sz w:val="21"/>
        </w:rPr>
        <w:t>, IAB 6/2/21, effective 7/21/21]</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7E.2.pdf" Type="http://schemas.openxmlformats.org/officeDocument/2006/relationships/hyperlink" Id="rId6"/>
    <Relationship TargetMode="External" Target="https://www.legis.iowa.gov/docs/ico/chapter/10A.pdf" Type="http://schemas.openxmlformats.org/officeDocument/2006/relationships/hyperlink" Id="rId7"/>
    <Relationship TargetMode="External" Target="https://www.legis.iowa.gov/docs/ico/chapter/7E.pdf" Type="http://schemas.openxmlformats.org/officeDocument/2006/relationships/hyperlink" Id="rId8"/>
    <Relationship TargetMode="External" Target="https://www.legis.iowa.gov/docs/ico/chapter/17A.10-18A.pdf" Type="http://schemas.openxmlformats.org/officeDocument/2006/relationships/hyperlink" Id="rId9"/>
    <Relationship TargetMode="External" Target="https://www.legis.iowa.gov/docs/iac/chapter/486.1.pdf" Type="http://schemas.openxmlformats.org/officeDocument/2006/relationships/hyperlink" Id="rId10"/>
    <Relationship TargetMode="External" Target="https://www.legis.iowa.gov/docs/iac/chapter/489.1.pdf" Type="http://schemas.openxmlformats.org/officeDocument/2006/relationships/hyperlink" Id="rId11"/>
    <Relationship TargetMode="External" Target="https://www.legis.iowa.gov/docs/iac/chapter/491.1.pdf" Type="http://schemas.openxmlformats.org/officeDocument/2006/relationships/hyperlink" Id="rId12"/>
    <Relationship TargetMode="External" Target="https://www.legis.iowa.gov/docs/iac/chapter/493.1.pdf" Type="http://schemas.openxmlformats.org/officeDocument/2006/relationships/hyperlink" Id="rId13"/>
    <Relationship TargetMode="External" Target="https://www.legis.iowa.gov/docs/iac/rule/481.6.5.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9A.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