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58</w:t>
      </w:r>
    </w:p>
    <w:p>
      <w:pPr>
        <w:spacing w:before="0" w:after="0"/>
        <w:ind w:left="120"/>
        <w:jc w:val="center"/>
      </w:pPr>
      <w:r>
        <w:rPr>
          <w:rFonts w:ascii="Times New Roman" w:hAnsi="Times New Roman"/>
          <w:b w:val="false"/>
          <w:i w:val="false"/>
          <w:color w:val="000000"/>
          <w:sz w:val="21"/>
        </w:rPr>
        <w:t>NURSING FACILITIES</w:t>
      </w:r>
    </w:p>
    <w:p>
      <w:pPr>
        <w:spacing w:before="0" w:after="0"/>
        <w:ind w:left="120"/>
        <w:jc w:val="center"/>
      </w:pPr>
      <w:r>
        <w:rPr>
          <w:rFonts w:ascii="Times New Roman" w:hAnsi="Times New Roman"/>
          <w:b w:val="false"/>
          <w:i w:val="false"/>
          <w:color w:val="000000"/>
          <w:sz w:val="14"/>
        </w:rPr>
        <w:t>[Prior to 7/15/87, Health Department[470] Ch 58]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481—58.1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terms shall have the meaning indicated in this chapter. The definitions set out in Iowa Code section </w:t>
      </w:r>
      <w:hyperlink r:id="rId5">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to be incorporated verbatim in the rules. The use of the words “shall” and “must” indicates those standards are mandatory. The use of the words “should” and “could” indicates those standards are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“Accommodation” </w:t>
      </w:r>
      <w:r>
        <w:rPr>
          <w:rFonts w:ascii="Times New Roman" w:hAnsi="Times New Roman"/>
          <w:b w:val="false"/>
          <w:i w:val="false"/>
          <w:color w:val="000000"/>
          <w:sz w:val="22"/>
        </w:rPr>
        <w:t>means the provision of lodging, including sleeping, dining, and 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 xml:space="preserve">means a person licensed pursuant to Iowa Code chapter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who administers, manages, supervises, and is in general administrative charge of a nursing facility, whether or not such individual has an ownership interest in such facility, and whether or not the functions and duties are shared with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“Ambulatory” </w:t>
      </w:r>
      <w:r>
        <w:rPr>
          <w:rFonts w:ascii="Times New Roman" w:hAnsi="Times New Roman"/>
          <w:b w:val="false"/>
          <w:i w:val="false"/>
          <w:color w:val="000000"/>
          <w:sz w:val="22"/>
        </w:rPr>
        <w:t>means the condition of a person who immediately and without aid of another is physically or mentally capable of traveling a normal path to safety, including the ascent and descent of stairs if applicable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“Basement” </w:t>
      </w:r>
      <w:r>
        <w:rPr>
          <w:rFonts w:ascii="Times New Roman" w:hAnsi="Times New Roman"/>
          <w:b w:val="false"/>
          <w:i w:val="false"/>
          <w:color w:val="000000"/>
          <w:sz w:val="22"/>
        </w:rPr>
        <w:t>means that part of a building where the finish floor is more than 30 inches below the finish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regular provision of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“Communicable disease” </w:t>
      </w:r>
      <w:r>
        <w:rPr>
          <w:rFonts w:ascii="Times New Roman" w:hAnsi="Times New Roman"/>
          <w:b w:val="false"/>
          <w:i w:val="false"/>
          <w:color w:val="000000"/>
          <w:sz w:val="22"/>
        </w:rPr>
        <w:t>means a disease caused by the presence of viruses or microbial agents within a person’s body, which agents may be transmitted either directly or indirectly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state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“Distinct part” </w:t>
      </w:r>
      <w:r>
        <w:rPr>
          <w:rFonts w:ascii="Times New Roman" w:hAnsi="Times New Roman"/>
          <w:b w:val="false"/>
          <w:i w:val="false"/>
          <w:color w:val="000000"/>
          <w:sz w:val="22"/>
        </w:rPr>
        <w:t>means a clearly identifiable area or section within a health care facility, consisting of at least a residential unit, wing, floor, or building containing contiguous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w:t>
      </w:r>
      <w:r>
        <w:rPr>
          <w:rFonts w:ascii="Times New Roman" w:hAnsi="Times New Roman"/>
          <w:b w:val="false"/>
          <w:i w:val="false"/>
          <w:color w:val="000000"/>
          <w:sz w:val="22"/>
        </w:rPr>
        <w:t>means any drug including over-the-counter substances ordered and administered under the direction of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“Nonambulatory” </w:t>
      </w:r>
      <w:r>
        <w:rPr>
          <w:rFonts w:ascii="Times New Roman" w:hAnsi="Times New Roman"/>
          <w:b w:val="false"/>
          <w:i w:val="false"/>
          <w:color w:val="000000"/>
          <w:sz w:val="22"/>
        </w:rPr>
        <w:t>means the condition of a person who immediately and without aid of another is not physically or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“Nourishing snack” </w:t>
      </w:r>
      <w:r>
        <w:rPr>
          <w:rFonts w:ascii="Times New Roman" w:hAnsi="Times New Roman"/>
          <w:b w:val="false"/>
          <w:i w:val="false"/>
          <w:color w:val="000000"/>
          <w:sz w:val="22"/>
        </w:rPr>
        <w:t>is defined as a verbal offering of items, single or in combination, from the basic food groups. Adequacy of the “nourishing snack” will be determined both by resident interviews and by evaluation of the overall nutritional status of residents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directed care environment” </w:t>
      </w:r>
      <w:r>
        <w:rPr>
          <w:rFonts w:ascii="Times New Roman" w:hAnsi="Times New Roman"/>
          <w:b w:val="false"/>
          <w:i w:val="false"/>
          <w:color w:val="000000"/>
          <w:sz w:val="22"/>
        </w:rPr>
        <w:t>means the provision of care and services provided in a facility that promotes decision making and choices by the resident, enhances the primary caregiver’s capacity to respond to each resident’s needs, and promotes a homelike environment. Examples of a person directed care environment include, but are not limited to, the Green House concept, the Eden alternative, service houses and neighborhoods.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care” </w:t>
      </w:r>
      <w:r>
        <w:rPr>
          <w:rFonts w:ascii="Times New Roman" w:hAnsi="Times New Roman"/>
          <w:b w:val="false"/>
          <w:i w:val="false"/>
          <w:color w:val="000000"/>
          <w:sz w:val="22"/>
        </w:rPr>
        <w:t>means assistance with the activities of daily living which the recipient can perform only with difficulty. Examples are assistance in getting in and out of bed, assistance with personal hygiene and bathing, assistance with dressing, meal assistance, and supervision over medications which can be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“Potentially hazardous food” </w:t>
      </w:r>
      <w:r>
        <w:rPr>
          <w:rFonts w:ascii="Times New Roman" w:hAnsi="Times New Roman"/>
          <w:b w:val="false"/>
          <w:i w:val="false"/>
          <w:color w:val="000000"/>
          <w:sz w:val="22"/>
        </w:rPr>
        <w:t>means a food that is natural or synthetic and that requires temperature control because it is in a form capable of supporting the rapid and progressive growth of infectious or toxigenic microorganisms, the growth and toxin production of clostridium botulinum, or in raw shell eggs, the growth of salmonella enteritidis. Potentially hazardous food includes an animal food (a food of animal origin) that is raw or heat-treated; a food of plant origin that is heat-treated or consists of raw seed sprouts; cut melons; and garlic and oil mixtures that are not acidified or otherwise modified at a food processing plant in a way that results in mixtures that do not support growth of bacteria.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provider” </w:t>
      </w:r>
      <w:r>
        <w:rPr>
          <w:rFonts w:ascii="Times New Roman" w:hAnsi="Times New Roman"/>
          <w:b w:val="false"/>
          <w:i w:val="false"/>
          <w:color w:val="000000"/>
          <w:sz w:val="22"/>
        </w:rPr>
        <w:t>means any of the following who provide primary care and meet certification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of care” </w:t>
      </w:r>
      <w:r>
        <w:rPr>
          <w:rFonts w:ascii="Times New Roman" w:hAnsi="Times New Roman"/>
          <w:b w:val="false"/>
          <w:i w:val="false"/>
          <w:color w:val="000000"/>
          <w:sz w:val="22"/>
        </w:rPr>
        <w:t>means all services being provided for a resident 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intellectual disabilities professional” </w:t>
      </w:r>
      <w:r>
        <w:rPr>
          <w:rFonts w:ascii="Times New Roman" w:hAnsi="Times New Roman"/>
          <w:b w:val="false"/>
          <w:i w:val="false"/>
          <w:color w:val="000000"/>
          <w:sz w:val="22"/>
        </w:rPr>
        <w:t>means a psychologist, physician, physician assistant, registered nurse, educator, social worker, physical or occupational therapist, speech therapist or audiologist who meets the educational requirements for the profession, as required in the state of Iowa, and having one year’s experience working with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nurse” </w:t>
      </w:r>
      <w:r>
        <w:rPr>
          <w:rFonts w:ascii="Times New Roman" w:hAnsi="Times New Roman"/>
          <w:b w:val="false"/>
          <w:i w:val="false"/>
          <w:color w:val="000000"/>
          <w:sz w:val="22"/>
        </w:rPr>
        <w:t xml:space="preserve">means a registered nurse or a licensed practical nurse, as defined in Iowa Code chapter </w:t>
      </w:r>
      <w:hyperlink r:id="rId7">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 </w:t>
      </w:r>
      <w:r>
        <w:rPr>
          <w:rFonts w:ascii="Times New Roman" w:hAnsi="Times New Roman"/>
          <w:b w:val="false"/>
          <w:i w:val="false"/>
          <w:color w:val="000000"/>
          <w:sz w:val="22"/>
        </w:rPr>
        <w:t>means that daily fee charged for all residents equally and shall include the cost of all minimum services required in these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party” </w:t>
      </w:r>
      <w:r>
        <w:rPr>
          <w:rFonts w:ascii="Times New Roman" w:hAnsi="Times New Roman"/>
          <w:b w:val="false"/>
          <w:i w:val="false"/>
          <w:color w:val="000000"/>
          <w:sz w:val="22"/>
        </w:rPr>
        <w:t xml:space="preserve">means the person who signs or cosigns the admission agreement required in </w:t>
      </w:r>
      <w:hyperlink r:id="rId8">
        <w:r>
          <w:rPr>
            <w:rStyle w:val="Hyperlink"/>
            <w:rFonts w:ascii="Times New Roman" w:hAnsi="Times New Roman"/>
            <w:b w:val="false"/>
            <w:i w:val="false"/>
            <w:color w:val="000000"/>
            <w:sz w:val="22"/>
          </w:rPr>
          <w:t>481—58.13</w:t>
        </w:r>
      </w:hyperlink>
      <w:r>
        <w:rPr>
          <w:rFonts w:ascii="Times New Roman" w:hAnsi="Times New Roman"/>
          <w:b w:val="false"/>
          <w:i w:val="false"/>
          <w:color w:val="000000"/>
          <w:sz w:val="22"/>
        </w:rPr>
        <w:t>(135C) or the resident’s guardian or conservator if one has been appointed. In the event that a resident does not have a guardian, conservator or other person signing the admission agreement, the term “responsible party” shall include the resident’s sponsoring agency, e.g., the department of human services, the U.S. Department of Veterans Affairs, religious groups, fraternal organizations, or foundations that assume responsibility and advocate for their client patients and pay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“Restraints” </w:t>
      </w:r>
      <w:r>
        <w:rPr>
          <w:rFonts w:ascii="Times New Roman" w:hAnsi="Times New Roman"/>
          <w:b w:val="false"/>
          <w:i w:val="false"/>
          <w:color w:val="000000"/>
          <w:sz w:val="22"/>
        </w:rPr>
        <w:t>means any chemical, manual method or physical or mechanical device, material, or equipment attached to the resident’s body that the individual cannot remove easily which restricts freedom of movement or normal access to one’s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evening meal” </w:t>
      </w:r>
      <w:r>
        <w:rPr>
          <w:rFonts w:ascii="Times New Roman" w:hAnsi="Times New Roman"/>
          <w:b w:val="false"/>
          <w:i w:val="false"/>
          <w:color w:val="000000"/>
          <w:sz w:val="22"/>
        </w:rPr>
        <w:t>is defined as an offering of three or more menu items at one time, one of which includes a high protein such as meat, fish, eggs or cheese. The meal would represent no less than 20 percent of the day’s total nutritional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w:t>
      </w:r>
      <w:r>
        <w:rPr>
          <w:rFonts w:ascii="Times New Roman" w:hAnsi="Times New Roman"/>
          <w:b/>
          <w:i w:val="false"/>
          <w:color w:val="000000"/>
          <w:sz w:val="22"/>
        </w:rPr>
        <w:t xml:space="preserve">(135C) </w:t>
      </w:r>
      <w:r>
        <w:rPr>
          <w:rFonts w:ascii="Times New Roman" w:hAnsi="Times New Roman"/>
          <w:b/>
          <w:i w:val="false"/>
          <w:color w:val="000000"/>
          <w:sz w:val="22"/>
        </w:rPr>
        <w:t xml:space="preserve">Waivers. </w:t>
      </w:r>
      <w:r>
        <w:rPr>
          <w:rFonts w:ascii="Times New Roman" w:hAnsi="Times New Roman"/>
          <w:b w:val="false"/>
          <w:i w:val="false"/>
          <w:color w:val="000000"/>
          <w:sz w:val="22"/>
        </w:rPr>
        <w:t>Waivers from these rules may be granted by the director of the department of inspections and appeals for good and sufficient reason when the need for a waiver has been established; no danger to the health, safety, or welfare of any resident results; alternate means are employed or compensating circumstances exist and the waiver will apply only to an individual nursing facility. Waivers will be reviewed at the discretion of the director of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w:t>
      </w:r>
      <w:r>
        <w:rPr>
          <w:rFonts w:ascii="Times New Roman" w:hAnsi="Times New Roman"/>
          <w:b w:val="false"/>
          <w:i w:val="false"/>
          <w:color w:val="000000"/>
          <w:sz w:val="22"/>
        </w:rPr>
        <w:t> </w:t>
      </w:r>
      <w:r>
        <w:rPr>
          <w:rFonts w:ascii="Times New Roman" w:hAnsi="Times New Roman"/>
          <w:b w:val="false"/>
          <w:i w:val="false"/>
          <w:color w:val="000000"/>
          <w:sz w:val="22"/>
        </w:rPr>
        <w:t>To request a waiver, the licensee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for a waiver in writing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rule or rules from which a waiver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why compliance with the rule or rules cannot be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alternate arrangements or compensating circumstances which justify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Demonstrate that the requested waiver will not endanger the health, safety, or welfare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58.2(2)</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a waiver, the director of inspections and appeals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 the rule from which a waiver is requested to determine that the request is necessary and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request meets the above criteria, evaluate the alternate arrangements or compensating circumstances against the requirement of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Examine the effect of the requested waiver on the health, safety, or welfare of the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Consult with the applicant if additional information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58.2(3)</w:t>
      </w:r>
      <w:r>
        <w:rPr>
          <w:rFonts w:ascii="Times New Roman" w:hAnsi="Times New Roman"/>
          <w:b w:val="false"/>
          <w:i w:val="false"/>
          <w:color w:val="000000"/>
          <w:sz w:val="22"/>
        </w:rPr>
        <w:t> </w:t>
      </w:r>
      <w:r>
        <w:rPr>
          <w:rFonts w:ascii="Times New Roman" w:hAnsi="Times New Roman"/>
          <w:b w:val="false"/>
          <w:i w:val="false"/>
          <w:color w:val="000000"/>
          <w:sz w:val="22"/>
        </w:rPr>
        <w:t>Based upon these studies, approval of the waiver will be either granted or denied within 120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481—58.3</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Application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w:t>
      </w:r>
      <w:r>
        <w:rPr>
          <w:rFonts w:ascii="Times New Roman" w:hAnsi="Times New Roman"/>
          <w:b w:val="false"/>
          <w:i w:val="false"/>
          <w:color w:val="000000"/>
          <w:sz w:val="22"/>
        </w:rPr>
        <w:t> </w:t>
      </w:r>
      <w:r>
        <w:rPr>
          <w:rFonts w:ascii="Times New Roman" w:hAnsi="Times New Roman"/>
          <w:b w:val="false"/>
          <w:i w:val="false"/>
          <w:color w:val="000000"/>
          <w:sz w:val="22"/>
        </w:rPr>
        <w:t>Initial application and licensing. In order to obtain an initial nursing facility license, for a nursing facility which is currently licensed,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w:t>
      </w:r>
      <w:hyperlink r:id="rId9">
        <w:r>
          <w:rPr>
            <w:rStyle w:val="Hyperlink"/>
            <w:rFonts w:ascii="Times New Roman" w:hAnsi="Times New Roman"/>
            <w:b w:val="false"/>
            <w:i w:val="false"/>
            <w:color w:val="000000"/>
            <w:sz w:val="22"/>
          </w:rPr>
          <w:t>481—Chapters 58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Applicable exceptions found in rule </w:t>
      </w:r>
      <w:hyperlink r:id="rId11">
        <w:r>
          <w:rPr>
            <w:rStyle w:val="Hyperlink"/>
            <w:rFonts w:ascii="Times New Roman" w:hAnsi="Times New Roman"/>
            <w:b w:val="false"/>
            <w:i w:val="false"/>
            <w:color w:val="000000"/>
            <w:sz w:val="22"/>
          </w:rPr>
          <w:t>481—61.2(135C)</w:t>
        </w:r>
      </w:hyperlink>
      <w:r>
        <w:rPr>
          <w:rFonts w:ascii="Times New Roman" w:hAnsi="Times New Roman"/>
          <w:b w:val="false"/>
          <w:i w:val="false"/>
          <w:color w:val="000000"/>
          <w:sz w:val="22"/>
        </w:rPr>
        <w:t xml:space="preserve"> shall apply based on the construction date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letter of intent and a written résumé of the resident care program and other services provided for departmental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60 days prior to the change of ownership of the facility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nursing facility, drawn on 8½- × 11-inch paper showing room areas in proportion, room dimensions, room numbers for all rooms, including bathrooms, and designation of the use to which room will be put and window and door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elevation of the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 nursing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Meet the requirements of a nursing facility for which licensure application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Comply with all other local statutes and ordinances in existence at the time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Have a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w:t>
      </w:r>
      <w:r>
        <w:rPr>
          <w:rFonts w:ascii="Times New Roman" w:hAnsi="Times New Roman"/>
          <w:b w:val="false"/>
          <w:i w:val="false"/>
          <w:color w:val="000000"/>
          <w:sz w:val="22"/>
        </w:rPr>
        <w:t> </w:t>
      </w:r>
      <w:r>
        <w:rPr>
          <w:rFonts w:ascii="Times New Roman" w:hAnsi="Times New Roman"/>
          <w:b w:val="false"/>
          <w:i w:val="false"/>
          <w:color w:val="000000"/>
          <w:sz w:val="22"/>
        </w:rPr>
        <w:t>In order to obtain an initial nursing facility license for a facility not currently licensed as a nursing facility,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w:t>
      </w:r>
      <w:hyperlink r:id="rId12">
        <w:r>
          <w:rPr>
            <w:rStyle w:val="Hyperlink"/>
            <w:rFonts w:ascii="Times New Roman" w:hAnsi="Times New Roman"/>
            <w:b w:val="false"/>
            <w:i w:val="false"/>
            <w:color w:val="000000"/>
            <w:sz w:val="22"/>
          </w:rPr>
          <w:t>481—Chapters 58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Exceptions noted in </w:t>
      </w:r>
      <w:hyperlink r:id="rId14">
        <w:r>
          <w:rPr>
            <w:rStyle w:val="Hyperlink"/>
            <w:rFonts w:ascii="Times New Roman" w:hAnsi="Times New Roman"/>
            <w:b w:val="false"/>
            <w:i w:val="false"/>
            <w:color w:val="000000"/>
            <w:sz w:val="22"/>
          </w:rPr>
          <w:t>481—subrule 61.1(2)</w:t>
        </w:r>
      </w:hyperlink>
      <w:r>
        <w:rPr>
          <w:rFonts w:ascii="Times New Roman" w:hAnsi="Times New Roman"/>
          <w:b w:val="false"/>
          <w:i w:val="false"/>
          <w:color w:val="000000"/>
          <w:sz w:val="22"/>
        </w:rPr>
        <w:t xml:space="preserve">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letter of intent and a written résumé of the resident care program and other services provided for departmental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60 days prior to the change of ownership of the facility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nursing facility, drawn on 8½- × 11-inch paper showing room areas in proportion, room dimensions, room numbers for all rooms, including bathrooms, and designation of the use to which room will be put and window and door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elevation of the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 nursing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Comply with all other local statutes and ordinances in existence at the time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a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w:t>
      </w:r>
      <w:r>
        <w:rPr>
          <w:rFonts w:ascii="Times New Roman" w:hAnsi="Times New Roman"/>
          <w:b w:val="false"/>
          <w:i w:val="false"/>
          <w:color w:val="000000"/>
          <w:sz w:val="22"/>
        </w:rPr>
        <w:t>In order to obtain a renewal of the nursing facility license,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form 30 days prior to annual license renewal date of nursing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statutory license fee for a nursing facility with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an approved current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appropriate changes in the résumé to reflect any changes in the resident care program or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w:t>
      </w:r>
      <w:r>
        <w:rPr>
          <w:rFonts w:ascii="Times New Roman" w:hAnsi="Times New Roman"/>
          <w:b w:val="false"/>
          <w:i w:val="false"/>
          <w:color w:val="000000"/>
          <w:sz w:val="22"/>
        </w:rPr>
        <w:t> </w:t>
      </w:r>
      <w:r>
        <w:rPr>
          <w:rFonts w:ascii="Times New Roman" w:hAnsi="Times New Roman"/>
          <w:b w:val="false"/>
          <w:i w:val="false"/>
          <w:color w:val="000000"/>
          <w:sz w:val="22"/>
        </w:rPr>
        <w:t>Licenses are issued to the person or governmental unit which has responsibility for the operation of the facility and authority to comply with all applicable statutes, rules or regulations.</w:t>
      </w:r>
    </w:p>
    <w:p>
      <w:pPr>
        <w:spacing w:before="0" w:after="0"/>
        <w:ind w:left="120"/>
        <w:jc w:val="both"/>
      </w:pPr>
      <w:r>
        <w:rPr>
          <w:rFonts w:ascii="Times New Roman" w:hAnsi="Times New Roman"/>
          <w:b w:val="false"/>
          <w:i w:val="false"/>
          <w:color w:val="000000"/>
          <w:sz w:val="22"/>
        </w:rPr>
        <w:t>The person or governmental unit must be the owner of the facility or, if the facility is leased, the lessee.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58.4(1)</w:t>
      </w:r>
      <w:r>
        <w:rPr>
          <w:rFonts w:ascii="Times New Roman" w:hAnsi="Times New Roman"/>
          <w:b w:val="false"/>
          <w:i w:val="false"/>
          <w:color w:val="000000"/>
          <w:sz w:val="22"/>
        </w:rPr>
        <w:t> </w:t>
      </w:r>
      <w:r>
        <w:rPr>
          <w:rFonts w:ascii="Times New Roman" w:hAnsi="Times New Roman"/>
          <w:b w:val="false"/>
          <w:i w:val="false"/>
          <w:color w:val="000000"/>
          <w:sz w:val="22"/>
        </w:rPr>
        <w:t>The license shall be displayed in a conspicuous place in the facility which is viewed by the public.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w:t>
      </w:r>
      <w:r>
        <w:rPr>
          <w:rFonts w:ascii="Times New Roman" w:hAnsi="Times New Roman"/>
          <w:b w:val="false"/>
          <w:i w:val="false"/>
          <w:color w:val="000000"/>
          <w:sz w:val="22"/>
        </w:rPr>
        <w:t> </w:t>
      </w:r>
      <w:r>
        <w:rPr>
          <w:rFonts w:ascii="Times New Roman" w:hAnsi="Times New Roman"/>
          <w:b w:val="false"/>
          <w:i w:val="false"/>
          <w:color w:val="000000"/>
          <w:sz w:val="22"/>
        </w:rPr>
        <w:t>The license shall be valid only in the possession of the licensee to whom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w:t>
      </w:r>
      <w:r>
        <w:rPr>
          <w:rFonts w:ascii="Times New Roman" w:hAnsi="Times New Roman"/>
          <w:b w:val="false"/>
          <w:i w:val="false"/>
          <w:color w:val="000000"/>
          <w:sz w:val="22"/>
        </w:rPr>
        <w:t> </w:t>
      </w:r>
      <w:r>
        <w:rPr>
          <w:rFonts w:ascii="Times New Roman" w:hAnsi="Times New Roman"/>
          <w:b w:val="false"/>
          <w:i w:val="false"/>
          <w:color w:val="000000"/>
          <w:sz w:val="22"/>
        </w:rPr>
        <w:t>The posted license shall accurately reflect the current status of the nursing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58.4(4)</w:t>
      </w:r>
      <w:r>
        <w:rPr>
          <w:rFonts w:ascii="Times New Roman" w:hAnsi="Times New Roman"/>
          <w:b w:val="false"/>
          <w:i w:val="false"/>
          <w:color w:val="000000"/>
          <w:sz w:val="22"/>
        </w:rPr>
        <w:t> </w:t>
      </w:r>
      <w:r>
        <w:rPr>
          <w:rFonts w:ascii="Times New Roman" w:hAnsi="Times New Roman"/>
          <w:b w:val="false"/>
          <w:i w:val="false"/>
          <w:color w:val="000000"/>
          <w:sz w:val="22"/>
        </w:rPr>
        <w:t>Licenses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shall not be licensed for more beds than have been approved by the health facilities council pursuant to Iowa Code chapter </w:t>
      </w:r>
      <w:hyperlink r:id="rId15">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 xml:space="preserve"> or than the facility can accommodate pursuant to the minimum physical standards for nursing facilities as set forth in </w:t>
      </w:r>
      <w:hyperlink r:id="rId16">
        <w:r>
          <w:rPr>
            <w:rStyle w:val="Hyperlink"/>
            <w:rFonts w:ascii="Times New Roman" w:hAnsi="Times New Roman"/>
            <w:b w:val="false"/>
            <w:i w:val="false"/>
            <w:color w:val="000000"/>
            <w:sz w:val="22"/>
          </w:rPr>
          <w:t>481—Chapter 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58.4(6)</w:t>
      </w:r>
      <w:r>
        <w:rPr>
          <w:rFonts w:ascii="Times New Roman" w:hAnsi="Times New Roman"/>
          <w:b w:val="false"/>
          <w:i w:val="false"/>
          <w:color w:val="000000"/>
          <w:sz w:val="22"/>
        </w:rPr>
        <w:t> </w:t>
      </w:r>
      <w:r>
        <w:rPr>
          <w:rFonts w:ascii="Times New Roman" w:hAnsi="Times New Roman"/>
          <w:b w:val="false"/>
          <w:i w:val="false"/>
          <w:color w:val="000000"/>
          <w:sz w:val="22"/>
        </w:rPr>
        <w:t>The facility shall post in a place readily accessible to residents, visitors, and persons inquiring about placement in the facility the results of the most recent survey of the facility. The facility shall maintain any surveys, certifications, and complaint investigations made respecting the facility during the three preceding years, and any plan of correction in effect with respect to the facility, available for any individual to review upon request.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w:t>
      </w:r>
      <w:r>
        <w:rPr>
          <w:rFonts w:ascii="Times New Roman" w:hAnsi="Times New Roman"/>
          <w:b/>
          <w:i w:val="false"/>
          <w:color w:val="000000"/>
          <w:sz w:val="22"/>
        </w:rPr>
        <w:t xml:space="preserve">(135C) </w:t>
      </w:r>
      <w:r>
        <w:rPr>
          <w:rFonts w:ascii="Times New Roman" w:hAnsi="Times New Roman"/>
          <w:b/>
          <w:i w:val="false"/>
          <w:color w:val="000000"/>
          <w:sz w:val="22"/>
        </w:rPr>
        <w:t xml:space="preserve">Notifications required by the department. </w:t>
      </w:r>
      <w:r>
        <w:rPr>
          <w:rFonts w:ascii="Times New Roman" w:hAnsi="Times New Roman"/>
          <w:b w:val="false"/>
          <w:i w:val="false"/>
          <w:color w:val="000000"/>
          <w:sz w:val="22"/>
        </w:rPr>
        <w:t>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58.5(1)</w:t>
      </w:r>
      <w:r>
        <w:rPr>
          <w:rFonts w:ascii="Times New Roman" w:hAnsi="Times New Roman"/>
          <w:b w:val="false"/>
          <w:i w:val="false"/>
          <w:color w:val="000000"/>
          <w:sz w:val="22"/>
        </w:rPr>
        <w:t> </w:t>
      </w:r>
      <w:r>
        <w:rPr>
          <w:rFonts w:ascii="Times New Roman" w:hAnsi="Times New Roman"/>
          <w:b w:val="false"/>
          <w:i w:val="false"/>
          <w:color w:val="000000"/>
          <w:sz w:val="22"/>
        </w:rPr>
        <w:t>Within 48 hours of any reduction or loss of nursing or dietary staff lasting more than seven days which places the staffing requirements below those required for licensing. No additional residents shall be admitted until the minimum staffing requirements are achieved;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58.5(2)</w:t>
      </w:r>
      <w:r>
        <w:rPr>
          <w:rFonts w:ascii="Times New Roman" w:hAnsi="Times New Roman"/>
          <w:b w:val="false"/>
          <w:i w:val="false"/>
          <w:color w:val="000000"/>
          <w:sz w:val="22"/>
        </w:rPr>
        <w:t> </w:t>
      </w:r>
      <w:r>
        <w:rPr>
          <w:rFonts w:ascii="Times New Roman" w:hAnsi="Times New Roman"/>
          <w:b w:val="false"/>
          <w:i w:val="false"/>
          <w:color w:val="000000"/>
          <w:sz w:val="22"/>
        </w:rPr>
        <w:t>Thirty days before any proposed change in the nursing facility’s functional operation or addition or deletion of required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58.5(3)</w:t>
      </w:r>
      <w:r>
        <w:rPr>
          <w:rFonts w:ascii="Times New Roman" w:hAnsi="Times New Roman"/>
          <w:b w:val="false"/>
          <w:i w:val="false"/>
          <w:color w:val="000000"/>
          <w:sz w:val="22"/>
        </w:rPr>
        <w:t> </w:t>
      </w:r>
      <w:r>
        <w:rPr>
          <w:rFonts w:ascii="Times New Roman" w:hAnsi="Times New Roman"/>
          <w:b w:val="false"/>
          <w:i w:val="false"/>
          <w:color w:val="000000"/>
          <w:sz w:val="22"/>
        </w:rPr>
        <w:t>Thirty days before addition, alteration, or new construction is begun in the nursing facility or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w:t>
      </w:r>
      <w:r>
        <w:rPr>
          <w:rFonts w:ascii="Times New Roman" w:hAnsi="Times New Roman"/>
          <w:b w:val="false"/>
          <w:i w:val="false"/>
          <w:color w:val="000000"/>
          <w:sz w:val="22"/>
        </w:rPr>
        <w:t> </w:t>
      </w:r>
      <w:r>
        <w:rPr>
          <w:rFonts w:ascii="Times New Roman" w:hAnsi="Times New Roman"/>
          <w:b w:val="false"/>
          <w:i w:val="false"/>
          <w:color w:val="000000"/>
          <w:sz w:val="22"/>
        </w:rPr>
        <w:t>Thirty days in advance of closure of the nursing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58.5(5)</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in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w:t>
      </w:r>
      <w:r>
        <w:rPr>
          <w:rFonts w:ascii="Times New Roman" w:hAnsi="Times New Roman"/>
          <w:b w:val="false"/>
          <w:i w:val="false"/>
          <w:color w:val="000000"/>
          <w:sz w:val="22"/>
        </w:rPr>
        <w:t> </w:t>
      </w:r>
      <w:r>
        <w:rPr>
          <w:rFonts w:ascii="Times New Roman" w:hAnsi="Times New Roman"/>
          <w:b w:val="false"/>
          <w:i w:val="false"/>
          <w:color w:val="000000"/>
          <w:sz w:val="22"/>
        </w:rPr>
        <w:t>When any change in the category of license is sought;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58.5(7)</w:t>
      </w:r>
      <w:r>
        <w:rPr>
          <w:rFonts w:ascii="Times New Roman" w:hAnsi="Times New Roman"/>
          <w:b w:val="false"/>
          <w:i w:val="false"/>
          <w:color w:val="000000"/>
          <w:sz w:val="22"/>
        </w:rPr>
        <w:t> </w:t>
      </w:r>
      <w:r>
        <w:rPr>
          <w:rFonts w:ascii="Times New Roman" w:hAnsi="Times New Roman"/>
          <w:b w:val="false"/>
          <w:i w:val="false"/>
          <w:color w:val="000000"/>
          <w:sz w:val="22"/>
        </w:rPr>
        <w:t>Prior to the purchase, transfer, assignment, or lease of a nursing facility,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pending sale, transfer, assignment, or lease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name and address of the prospective purchaser, transferee, assignee, or lessee at least 60 days before the sale, transfer, assignment, or lease is completed.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481—58.6</w:t>
      </w:r>
      <w:r>
        <w:rPr>
          <w:rFonts w:ascii="Times New Roman" w:hAnsi="Times New Roman"/>
          <w:b/>
          <w:i w:val="false"/>
          <w:color w:val="000000"/>
          <w:sz w:val="22"/>
        </w:rPr>
        <w:t xml:space="preserve">(135C) </w:t>
      </w:r>
      <w:r>
        <w:rPr>
          <w:rFonts w:ascii="Times New Roman" w:hAnsi="Times New Roman"/>
          <w:b/>
          <w:i w:val="false"/>
          <w:color w:val="000000"/>
          <w:sz w:val="22"/>
        </w:rPr>
        <w:t xml:space="preserve">Witness fees.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3/30/94</w:t>
      </w:r>
      <w:r>
        <w:rPr>
          <w:rFonts w:ascii="Times New Roman" w:hAnsi="Times New Roman"/>
          <w:b w:val="false"/>
          <w:i w:val="false"/>
          <w:color w:val="000000"/>
          <w:sz w:val="22"/>
        </w:rPr>
        <w:t xml:space="preserve">, effective 5/4/94. See </w:t>
      </w:r>
      <w:hyperlink r:id="rId17">
        <w:r>
          <w:rPr>
            <w:rStyle w:val="Hyperlink"/>
            <w:rFonts w:ascii="Times New Roman" w:hAnsi="Times New Roman"/>
            <w:b w:val="false"/>
            <w:i w:val="false"/>
            <w:color w:val="000000"/>
            <w:sz w:val="22"/>
          </w:rPr>
          <w:t>481—subrule 50.6(4)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481—58.7</w:t>
      </w:r>
      <w:r>
        <w:rPr>
          <w:rFonts w:ascii="Times New Roman" w:hAnsi="Times New Roman"/>
          <w:b/>
          <w:i w:val="false"/>
          <w:color w:val="000000"/>
          <w:sz w:val="22"/>
        </w:rPr>
        <w:t xml:space="preserve">(135C) </w:t>
      </w:r>
      <w:r>
        <w:rPr>
          <w:rFonts w:ascii="Times New Roman" w:hAnsi="Times New Roman"/>
          <w:b/>
          <w:i w:val="false"/>
          <w:color w:val="000000"/>
          <w:sz w:val="22"/>
        </w:rPr>
        <w:t xml:space="preserve">Licenses for distinct parts.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58.7(1)</w:t>
      </w:r>
      <w:r>
        <w:rPr>
          <w:rFonts w:ascii="Times New Roman" w:hAnsi="Times New Roman"/>
          <w:b w:val="false"/>
          <w:i w:val="false"/>
          <w:color w:val="000000"/>
          <w:sz w:val="22"/>
        </w:rPr>
        <w:t> </w:t>
      </w:r>
      <w:r>
        <w:rPr>
          <w:rFonts w:ascii="Times New Roman" w:hAnsi="Times New Roman"/>
          <w:b w:val="false"/>
          <w:i w:val="false"/>
          <w:color w:val="000000"/>
          <w:sz w:val="22"/>
        </w:rPr>
        <w:t>Separate licenses may be issued for distinct parts of a health care facility which are clearly identifiable, containing contiguous rooms in a separate wing or building or on a separate floor of the facility and which provide care and services of separate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58.7(2)</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shall be met for a separate licensing of a distinct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serve only residents who require the category of care and services immediately available to them within that part;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the standards, rules, and regulations pertaining to the category for which a license is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distinct part must be operationally and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separate staff with qualifications appropriate to the care and services being rendered must be regularly assigned and working in the distinct part under responsible management;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Separately licensed distinct parts may have certain services such as management, building maintenance, laundry, and dietary in common with each other.</w:t>
      </w:r>
    </w:p>
    <w:p>
      <w:pPr>
        <w:spacing w:before="0" w:after="0"/>
        <w:ind w:left="120"/>
        <w:jc w:val="both"/>
      </w:pPr>
      <w:r>
        <w:rPr>
          <w:rFonts w:ascii="Times New Roman" w:hAnsi="Times New Roman"/>
          <w:b/>
          <w:i w:val="false"/>
          <w:color w:val="000000"/>
          <w:sz w:val="22"/>
        </w:rPr>
        <w:t>481—58.8</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58.8(1)</w:t>
      </w:r>
      <w:r>
        <w:rPr>
          <w:rFonts w:ascii="Times New Roman" w:hAnsi="Times New Roman"/>
          <w:b w:val="false"/>
          <w:i w:val="false"/>
          <w:color w:val="000000"/>
          <w:sz w:val="22"/>
        </w:rPr>
        <w:t> </w:t>
      </w:r>
      <w:r>
        <w:rPr>
          <w:rFonts w:ascii="Times New Roman" w:hAnsi="Times New Roman"/>
          <w:b w:val="false"/>
          <w:i w:val="false"/>
          <w:color w:val="000000"/>
          <w:sz w:val="22"/>
        </w:rPr>
        <w:t>Each nursing facility shall have one person in charge, duly licensed as a nursing home administrator or acting in a provisional capacity.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58.8(2)</w:t>
      </w:r>
      <w:r>
        <w:rPr>
          <w:rFonts w:ascii="Times New Roman" w:hAnsi="Times New Roman"/>
          <w:b w:val="false"/>
          <w:i w:val="false"/>
          <w:color w:val="000000"/>
          <w:sz w:val="22"/>
        </w:rPr>
        <w:t> </w:t>
      </w:r>
      <w:r>
        <w:rPr>
          <w:rFonts w:ascii="Times New Roman" w:hAnsi="Times New Roman"/>
          <w:b w:val="false"/>
          <w:i w:val="false"/>
          <w:color w:val="000000"/>
          <w:sz w:val="22"/>
        </w:rPr>
        <w:t>A licensed administrator may act as an administrator for not more than two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distance between the two facilities shall be no greater than 75 miles.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spend the equivalent of three full eight-hour days per week in each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administrator may be responsible for no more than 150 beds in total if the administrator is an administrator of more than one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58.8(3)</w:t>
      </w:r>
      <w:r>
        <w:rPr>
          <w:rFonts w:ascii="Times New Roman" w:hAnsi="Times New Roman"/>
          <w:b w:val="false"/>
          <w:i w:val="false"/>
          <w:color w:val="000000"/>
          <w:sz w:val="22"/>
        </w:rPr>
        <w:t> </w:t>
      </w:r>
      <w:r>
        <w:rPr>
          <w:rFonts w:ascii="Times New Roman" w:hAnsi="Times New Roman"/>
          <w:b w:val="false"/>
          <w:i w:val="false"/>
          <w:color w:val="000000"/>
          <w:sz w:val="22"/>
        </w:rPr>
        <w:t>The licensee may be the licensed nursing home administrator providing the licensee meets the requirements as set forth in these regulations and devotes the required time to administrative duties. Residency in the facility does not in itself meet the requirement.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58.8(4)</w:t>
      </w:r>
      <w:r>
        <w:rPr>
          <w:rFonts w:ascii="Times New Roman" w:hAnsi="Times New Roman"/>
          <w:b w:val="false"/>
          <w:i w:val="false"/>
          <w:color w:val="000000"/>
          <w:sz w:val="22"/>
        </w:rPr>
        <w:t> </w:t>
      </w:r>
      <w:r>
        <w:rPr>
          <w:rFonts w:ascii="Times New Roman" w:hAnsi="Times New Roman"/>
          <w:b w:val="false"/>
          <w:i w:val="false"/>
          <w:color w:val="000000"/>
          <w:sz w:val="22"/>
        </w:rPr>
        <w:t>A provisional administrator may be appointed on a temporary basis by the nursing facility licensee to assume the administrative duties when the facility, through no fault of its own, has lost its administrator and has been unable to replace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facility licensed under Iowa Code chapter </w:t>
      </w:r>
      <w:hyperlink r:id="rId1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shall be permitted to have a provisional administrator for more than 12 consecutive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notify the department in writing within 14 days of the administrator’s appointment. The written notice shall include the estimated time frame for the appointment of the provisional administrator and the reason for the appointment of a provisional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provisional administrator’s appointment must be approved by the board of examiners for nursing home administrators. The approval shall be confirmed in writing to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absence of the administrator, a responsible person shall be designated in writing to the department to be in charge of the facility. The administrator shall not be absent from the facility for more than 3 months without approval of the department. (III) </w:t>
      </w:r>
    </w:p>
    <w:p>
      <w:pPr>
        <w:spacing w:before="0" w:after="0"/>
        <w:ind w:left="120"/>
        <w:jc w:val="both"/>
      </w:pPr>
      <w:r>
        <w:rPr>
          <w:rFonts w:ascii="Times New Roman" w:hAnsi="Times New Roman"/>
          <w:b w:val="false"/>
          <w:i w:val="false"/>
          <w:color w:val="000000"/>
          <w:sz w:val="22"/>
        </w:rPr>
        <w:t>The person designated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empowered to act on behalf of the licensee during the administrator’s absence concerning the health, safety, and welfare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had training to carry out assignments and take care of emergencies and sudden illness of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58.8(6)</w:t>
      </w:r>
      <w:r>
        <w:rPr>
          <w:rFonts w:ascii="Times New Roman" w:hAnsi="Times New Roman"/>
          <w:b w:val="false"/>
          <w:i w:val="false"/>
          <w:color w:val="000000"/>
          <w:sz w:val="22"/>
        </w:rPr>
        <w:t> </w:t>
      </w:r>
      <w:r>
        <w:rPr>
          <w:rFonts w:ascii="Times New Roman" w:hAnsi="Times New Roman"/>
          <w:b w:val="false"/>
          <w:i w:val="false"/>
          <w:color w:val="000000"/>
          <w:sz w:val="22"/>
        </w:rPr>
        <w:t>A licensed administrator in charge of two facilities shall employ an individual designated as a full-time assistant administrator for each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58.8(7)</w:t>
      </w:r>
      <w:r>
        <w:rPr>
          <w:rFonts w:ascii="Times New Roman" w:hAnsi="Times New Roman"/>
          <w:b w:val="false"/>
          <w:i w:val="false"/>
          <w:color w:val="000000"/>
          <w:sz w:val="22"/>
        </w:rPr>
        <w:t> </w:t>
      </w:r>
      <w:r>
        <w:rPr>
          <w:rFonts w:ascii="Times New Roman" w:hAnsi="Times New Roman"/>
          <w:b w:val="false"/>
          <w:i w:val="false"/>
          <w:color w:val="000000"/>
          <w:sz w:val="22"/>
        </w:rPr>
        <w:t>An administrator of only one facility shall be considered as a full-time employee. Full-time employment is defined as 40 hours per week.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2020C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481—58.9</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58.9(1)</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Assume the responsibility for the overall operation of the nursing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compliance with all applicable laws and with the rules of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 written policies, which shall be available for review, for the operation of the nursing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58.9(2)</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selection and direction of competent personnel to provide services for the resident care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arrangement for all department heads to annually attend a minimum of ten contact hours of educational programs to increase skills and knowledge needed for the position;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responsible for a monthly in-service educational program for all employees and to maintain records of programs and participants;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Make available the nursing facility payroll records for departmental review as needed;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required to maintain a staffing pattern of all departments. These records must be maintained for six months and are to be made available for departmental review. (III)</w:t>
      </w:r>
    </w:p>
    <w:p>
      <w:pPr>
        <w:spacing w:before="0" w:after="0"/>
        <w:ind w:left="120"/>
        <w:jc w:val="both"/>
      </w:pPr>
      <w:r>
        <w:rPr>
          <w:rFonts w:ascii="Times New Roman" w:hAnsi="Times New Roman"/>
          <w:b/>
          <w:i w:val="false"/>
          <w:color w:val="000000"/>
          <w:sz w:val="22"/>
        </w:rPr>
        <w:t>481—58.10</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58.10(1)</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personnel policies in facilities of more than 15 beds to include hours of work, and attendance at educational programs.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58.10(2)</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job description developed for each category of worker. The job description shall include title of job, job summary, qualifications (formal education and experience), skills needed, physical requirements, and responsibilities.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58.10(3)</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personnel policies for each facility. Personnel policies shall include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shall have a physical examination before employment.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shall have a physical examination at least every four years.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and testing for tuberculosis shall be conducted pursuant to </w:t>
      </w:r>
      <w:hyperlink r:id="rId19">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58.10(4)</w:t>
      </w:r>
      <w:r>
        <w:rPr>
          <w:rFonts w:ascii="Times New Roman" w:hAnsi="Times New Roman"/>
          <w:b w:val="false"/>
          <w:i w:val="false"/>
          <w:color w:val="000000"/>
          <w:sz w:val="22"/>
        </w:rPr>
        <w:t> </w:t>
      </w:r>
      <w:r>
        <w:rPr>
          <w:rFonts w:ascii="Times New Roman" w:hAnsi="Times New Roman"/>
          <w:b w:val="false"/>
          <w:i w:val="false"/>
          <w:color w:val="000000"/>
          <w:sz w:val="22"/>
        </w:rPr>
        <w:t>Health certificates for all employees shall be available for review.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10/19/88</w:t>
      </w:r>
      <w:r>
        <w:rPr>
          <w:rFonts w:ascii="Times New Roman" w:hAnsi="Times New Roman"/>
          <w:b w:val="false"/>
          <w:i w:val="false"/>
          <w:color w:val="000000"/>
          <w:sz w:val="22"/>
        </w:rPr>
        <w:t>, effective 11/23/88.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58.10(6)</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for emergency medical care for employees and residents in case of sudden illness or accident which includes the individual to be contacted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58.10(7)</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 written agreement with a hospital for the timely admission of a resident who, in the opinion of the attending physician, requires hospitalization.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58.10(8)</w:t>
      </w:r>
      <w:r>
        <w:rPr>
          <w:rFonts w:ascii="Times New Roman" w:hAnsi="Times New Roman"/>
          <w:b w:val="false"/>
          <w:i w:val="false"/>
          <w:color w:val="000000"/>
          <w:sz w:val="22"/>
        </w:rPr>
        <w:t> </w:t>
      </w:r>
      <w:r>
        <w:rPr>
          <w:rFonts w:ascii="Times New Roman" w:hAnsi="Times New Roman"/>
          <w:b w:val="false"/>
          <w:i w:val="false"/>
          <w:color w:val="000000"/>
          <w:sz w:val="22"/>
        </w:rPr>
        <w:t xml:space="preserve">Infection control program. Each facility shall have a written and implemented infection control and exposure control program with policies and procedures based on the guidelines issued by the Centers for Disease Control and Prevention (CDC), U.S. Department of Health and Human Services. (I, II, III) CDC guidelines are available at </w:t>
      </w:r>
      <w:hyperlink r:id="rId20">
        <w:r>
          <w:rPr>
            <w:rStyle w:val="Hyperlink"/>
            <w:rFonts w:ascii="Times New Roman" w:hAnsi="Times New Roman"/>
            <w:b w:val="false"/>
            <w:i w:val="false"/>
            <w:color w:val="000000"/>
            <w:sz w:val="22"/>
            <w:u w:val="single"/>
          </w:rPr>
          <w:t>www.cdc.gov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58.10(9)</w:t>
      </w:r>
      <w:r>
        <w:rPr>
          <w:rFonts w:ascii="Times New Roman" w:hAnsi="Times New Roman"/>
          <w:b w:val="false"/>
          <w:i w:val="false"/>
          <w:color w:val="000000"/>
          <w:sz w:val="22"/>
        </w:rPr>
        <w:t> </w:t>
      </w:r>
      <w:r>
        <w:rPr>
          <w:rFonts w:ascii="Times New Roman" w:hAnsi="Times New Roman"/>
          <w:b w:val="false"/>
          <w:i w:val="false"/>
          <w:color w:val="000000"/>
          <w:sz w:val="22"/>
        </w:rPr>
        <w:t>Infection control committee. Each facility shall establish an infection control committee of representative professional staff responsible for overall infection control in the facility. The infection control committee may be part of or the same as another quality assurance committee as long as the following standards are met: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shall annually review and revise the infection control policies and procedures to monitor effectiveness and suggest improvement.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shall meet at least quarterly, submit reports to the administrator, and maintain minutes in sufficient detail to document its proceedings and actions.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shall monitor the health aspect and the environment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58.10(10)</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for resident care programs and services as outlined in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58.10(11)</w:t>
      </w:r>
      <w:r>
        <w:rPr>
          <w:rFonts w:ascii="Times New Roman" w:hAnsi="Times New Roman"/>
          <w:b w:val="false"/>
          <w:i w:val="false"/>
          <w:color w:val="000000"/>
          <w:sz w:val="22"/>
        </w:rPr>
        <w:t> </w:t>
      </w:r>
      <w:r>
        <w:rPr>
          <w:rFonts w:ascii="Times New Roman" w:hAnsi="Times New Roman"/>
          <w:b w:val="false"/>
          <w:i w:val="false"/>
          <w:color w:val="000000"/>
          <w:sz w:val="22"/>
        </w:rPr>
        <w:t>Prior to the removal of a deceased resident/patient from a facility, the funeral director or person responsible for transporting the body shall be notified by the facility staff of any special precautions that were followed by the facility having to do with the mode of transmission of a known or suspected communicable disease.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0663C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481—58.11</w:t>
      </w:r>
      <w:r>
        <w:rPr>
          <w:rFonts w:ascii="Times New Roman" w:hAnsi="Times New Roman"/>
          <w:b/>
          <w:i w:val="false"/>
          <w:color w:val="000000"/>
          <w:sz w:val="22"/>
        </w:rPr>
        <w:t xml:space="preserve">(135C) </w:t>
      </w:r>
      <w:r>
        <w:rPr>
          <w:rFonts w:ascii="Times New Roman" w:hAnsi="Times New Roman"/>
          <w:b/>
          <w:i w:val="false"/>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58.11(1)</w:t>
      </w:r>
      <w:r>
        <w:rPr>
          <w:rFonts w:ascii="Times New Roman" w:hAnsi="Times New Roman"/>
          <w:b w:val="false"/>
          <w:i w:val="false"/>
          <w:color w:val="000000"/>
          <w:sz w:val="22"/>
        </w:rPr>
        <w:t> </w:t>
      </w:r>
      <w:r>
        <w:rPr>
          <w:rFonts w:ascii="Times New Roman" w:hAnsi="Times New Roman"/>
          <w:b w:val="false"/>
          <w:i/>
          <w:color w:val="000000"/>
          <w:sz w:val="22"/>
        </w:rPr>
        <w:t xml:space="preserve">General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with a current record of habitual alcohol intoxication or addiction to the use of drugs shall serve in a managerial role of a nursing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under the influence of alcohol or intoxicating drugs shall be permitted to provide services in a nursing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person shall be allowed to provide services in a facility if the person has a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Which is transmissible through required workplace contact,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Which presents a significant risk of infecting others,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Which presents a substantial possibility of harming others, and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which no reasonable accommodation can eliminate the risk. (I, II, III)</w:t>
      </w:r>
    </w:p>
    <w:p>
      <w:pPr>
        <w:spacing w:before="0" w:after="0"/>
        <w:ind w:left="120"/>
        <w:jc w:val="both"/>
      </w:pPr>
      <w:r>
        <w:rPr>
          <w:rFonts w:ascii="Times New Roman" w:hAnsi="Times New Roman"/>
          <w:b w:val="false"/>
          <w:i w:val="false"/>
          <w:color w:val="000000"/>
          <w:sz w:val="22"/>
        </w:rPr>
        <w:t>Refer to guidelines issued by the Centers for Disease Control and Prevention, U.S. Department of Health and Human Services, to determine (1), (2), (3) and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with either physical or mental disabilities may be employed for specific duties, but only if that disability is unrelated to that individual’s ability to perform the duties of the job.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Persons employed in all departments, except the nursing department of a nursing facility, shall be qualified through formal training or through prior experience to perform the type of work for which they have been employed. Prior experience means at least 240 hours of full-time employment in a field related to their duties. Persons may be hired in laundry, housekeeping, activities and dietary without experience or training if the facility institutes a formal in-service training program to fit the job description in question and documents such as having taken place within 30 days after the initial hiring of such untrained employees.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health services supervisor shall be a qualified nurse as defined in these regulations.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shall be an organized ongoing in-service educational and training program planned in advance for all personnel in all departments.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Nurse aides may be utilized in accordance with the requirements in </w:t>
      </w:r>
      <w:hyperlink r:id="rId21">
        <w:r>
          <w:rPr>
            <w:rStyle w:val="Hyperlink"/>
            <w:rFonts w:ascii="Times New Roman" w:hAnsi="Times New Roman"/>
            <w:b w:val="false"/>
            <w:i w:val="false"/>
            <w:color w:val="000000"/>
            <w:sz w:val="22"/>
          </w:rPr>
          <w:t>441—subrule 81.13(19)</w:t>
        </w:r>
      </w:hyperlink>
      <w:r>
        <w:rPr>
          <w:rFonts w:ascii="Times New Roman" w:hAnsi="Times New Roman"/>
          <w:b w:val="false"/>
          <w:i w:val="false"/>
          <w:color w:val="000000"/>
          <w:sz w:val="22"/>
        </w:rPr>
        <w:t xml:space="preserve"> and rule </w:t>
      </w:r>
      <w:hyperlink r:id="rId22">
        <w:r>
          <w:rPr>
            <w:rStyle w:val="Hyperlink"/>
            <w:rFonts w:ascii="Times New Roman" w:hAnsi="Times New Roman"/>
            <w:b w:val="false"/>
            <w:i w:val="false"/>
            <w:color w:val="000000"/>
            <w:sz w:val="22"/>
          </w:rPr>
          <w:t>441—81.16</w:t>
        </w:r>
      </w:hyperlink>
      <w:r>
        <w:rPr>
          <w:rFonts w:ascii="Times New Roman" w:hAnsi="Times New Roman"/>
          <w:b w:val="false"/>
          <w:i w:val="false"/>
          <w:color w:val="000000"/>
          <w:sz w:val="22"/>
        </w:rPr>
        <w:t xml:space="preserve">(249A). Nurse aides who have received training other than the Iowa state-approved program must pass a competency evaluation approved by the department of inspections and appeals in accordance with </w:t>
      </w:r>
      <w:hyperlink r:id="rId23">
        <w:r>
          <w:rPr>
            <w:rStyle w:val="Hyperlink"/>
            <w:rFonts w:ascii="Times New Roman" w:hAnsi="Times New Roman"/>
            <w:b w:val="false"/>
            <w:i w:val="false"/>
            <w:color w:val="000000"/>
            <w:sz w:val="22"/>
          </w:rPr>
          <w:t>441—subrule 81.13(19)</w:t>
        </w:r>
      </w:hyperlink>
      <w:r>
        <w:rPr>
          <w:rFonts w:ascii="Times New Roman" w:hAnsi="Times New Roman"/>
          <w:b w:val="false"/>
          <w:i w:val="false"/>
          <w:color w:val="000000"/>
          <w:sz w:val="22"/>
        </w:rPr>
        <w:t xml:space="preserve"> and rule </w:t>
      </w:r>
      <w:hyperlink r:id="rId24">
        <w:r>
          <w:rPr>
            <w:rStyle w:val="Hyperlink"/>
            <w:rFonts w:ascii="Times New Roman" w:hAnsi="Times New Roman"/>
            <w:b w:val="false"/>
            <w:i w:val="false"/>
            <w:color w:val="000000"/>
            <w:sz w:val="22"/>
          </w:rPr>
          <w:t>441—81.16</w:t>
        </w:r>
      </w:hyperlink>
      <w:r>
        <w:rPr>
          <w:rFonts w:ascii="Times New Roman" w:hAnsi="Times New Roman"/>
          <w:b w:val="false"/>
          <w:i w:val="false"/>
          <w:color w:val="000000"/>
          <w:sz w:val="22"/>
        </w:rPr>
        <w:t>(249A). Evidence of prior formal training must be presented to the facility or institution conducting the challenge examination before the examination is given. The approved facility or institution, following department of inspections and appeals guidelines, shall make the determination of who is qualified to take the examination. Documentation of the challenge examinations administered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58.11(2)</w:t>
      </w:r>
      <w:r>
        <w:rPr>
          <w:rFonts w:ascii="Times New Roman" w:hAnsi="Times New Roman"/>
          <w:b w:val="false"/>
          <w:i w:val="false"/>
          <w:color w:val="000000"/>
          <w:sz w:val="22"/>
        </w:rPr>
        <w:t> </w:t>
      </w:r>
      <w:r>
        <w:rPr>
          <w:rFonts w:ascii="Times New Roman" w:hAnsi="Times New Roman"/>
          <w:b w:val="false"/>
          <w:i/>
          <w:color w:val="000000"/>
          <w:sz w:val="22"/>
        </w:rPr>
        <w:t xml:space="preserve">Nursing supervision and staffing.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only part-time nurses are employed, one nurse shall be designated health service supervisor.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qualified nurse shall be employed to relieve the supervising nurses, including charge nurses, on holidays, vacation, sick leave, days off, absences or emergencies. Pertinent information for contacting such relief person shall be readily available to nurses.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health service supervisor serves as the administrator of a facility 50 beds and over, a qualified nurse must be employed to relieve the health service supervisor of nursing responsibilities.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establish on an individual facility basis the numbers and qualifications of the staff required in the facility using as its criteria the services being offered and the needs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nursing facility of 75 beds or more shall have a qualified nurse on duty 24 hours per day, seven days a week.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facilities under 75 beds, if the health service supervisor is a licensed practical nurse, the facility shall employ a registered nurse, for at least four hours each week for consultation, who must be on duty at the same time as the health service supervisor.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shall be an on-site consultation and documentation shall be made of the visit.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registered nurse-consultant shall have responsibilities clearly outlined in a written agreement with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Consultation shall include but not be limited to the following: counseling the health service supervisor in the management of the health services; (III) reviewing and evaluating the health services in determining that the needs of the residents are met; (II, III) conducting a review of medications at least monthly if the facility does not employ a registered nurse part-time.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Facilities with 75 or more beds must employ a health service supervisor who is a registered nurse.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two people who shall be capable of rendering nursing service, awake, dressed, and on duty at all times.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Physician’s and other qualified health care practitioner’s orders shall be implemented by qualified personnel.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58.11(3)</w:t>
      </w:r>
      <w:r>
        <w:rPr>
          <w:rFonts w:ascii="Times New Roman" w:hAnsi="Times New Roman"/>
          <w:b w:val="false"/>
          <w:i w:val="false"/>
          <w:color w:val="000000"/>
          <w:sz w:val="22"/>
        </w:rPr>
        <w:t> </w:t>
      </w:r>
      <w:r>
        <w:rPr>
          <w:rFonts w:ascii="Times New Roman" w:hAnsi="Times New Roman"/>
          <w:b w:val="false"/>
          <w:i/>
          <w:color w:val="000000"/>
          <w:sz w:val="22"/>
        </w:rPr>
        <w:t xml:space="preserve">Employee criminal record checks, child abuse checks and dependent adult abuse checks and employment of individuals who have committed a crime or have a founded abuse. </w:t>
      </w:r>
      <w:r>
        <w:rPr>
          <w:rFonts w:ascii="Times New Roman" w:hAnsi="Times New Roman"/>
          <w:b w:val="false"/>
          <w:i w:val="false"/>
          <w:color w:val="000000"/>
          <w:sz w:val="22"/>
        </w:rPr>
        <w:t xml:space="preserve">The facility shall comply with the requirements found in Iowa Code section </w:t>
      </w:r>
      <w:hyperlink r:id="rId25">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and rule </w:t>
      </w:r>
      <w:hyperlink r:id="rId26">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related to completion of criminal record checks, child abuse checks, and dependent adult abuse checks and to employment of individuals who have committed a crime or have a founded abuse.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0903C</w:t>
      </w:r>
      <w:r>
        <w:rPr>
          <w:rFonts w:ascii="Times New Roman" w:hAnsi="Times New Roman"/>
          <w:b w:val="false"/>
          <w:i w:val="false"/>
          <w:color w:val="000000"/>
          <w:sz w:val="16"/>
        </w:rPr>
        <w:t>, IAB 8/7/13, effective 9/11/13</w:t>
      </w:r>
      <w:r>
        <w:rPr>
          <w:rFonts w:ascii="Times New Roman" w:hAnsi="Times New Roman"/>
          <w:b w:val="false"/>
          <w:i w:val="false"/>
          <w:color w:val="000000"/>
          <w:sz w:val="16"/>
        </w:rPr>
        <w:t xml:space="preserve">; </w:t>
      </w:r>
      <w:r>
        <w:rPr>
          <w:rFonts w:ascii="Times New Roman" w:hAnsi="Times New Roman"/>
          <w:b/>
          <w:i w:val="false"/>
          <w:color w:val="000000"/>
          <w:sz w:val="16"/>
        </w:rPr>
        <w:t>ARC 5421C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481—58.12</w:t>
      </w:r>
      <w:r>
        <w:rPr>
          <w:rFonts w:ascii="Times New Roman" w:hAnsi="Times New Roman"/>
          <w:b/>
          <w:i w:val="false"/>
          <w:color w:val="000000"/>
          <w:sz w:val="22"/>
        </w:rPr>
        <w:t xml:space="preserve">(135C) </w:t>
      </w:r>
      <w:r>
        <w:rPr>
          <w:rFonts w:ascii="Times New Roman" w:hAnsi="Times New Roman"/>
          <w:b/>
          <w:i w:val="false"/>
          <w:color w:val="000000"/>
          <w:sz w:val="22"/>
        </w:rPr>
        <w:t xml:space="preserve">Admission, transfer, and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58.12(1)</w:t>
      </w:r>
      <w:r>
        <w:rPr>
          <w:rFonts w:ascii="Times New Roman" w:hAnsi="Times New Roman"/>
          <w:b w:val="false"/>
          <w:i w:val="false"/>
          <w:color w:val="000000"/>
          <w:sz w:val="22"/>
        </w:rPr>
        <w:t> </w:t>
      </w:r>
      <w:r>
        <w:rPr>
          <w:rFonts w:ascii="Times New Roman" w:hAnsi="Times New Roman"/>
          <w:b w:val="false"/>
          <w:i/>
          <w:color w:val="000000"/>
          <w:sz w:val="22"/>
        </w:rPr>
        <w:t xml:space="preserve">General admission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resident shall be admitted or retained in a nursing facility who is in need of greater services than the facility can provide.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nursing facility shall admit more residents than the number of beds for which it is licensed, except guest rooms for visitors.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beds erected than is stipulated on the license.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beds erected in a room than its size and other characteristics will permit.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admission of a resident to a nursing facility shall not give the facility or any employee of the facility the right to manage, use, or dispose of any property of the resident except with the written authorization of the resident or the resident’s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admission of a resident shall not grant the nursing facility the authority or responsibility to manage the personal affairs of the resident except as may be necessary for the safety of the resident and safe and orderly management of the facility as required by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Residents have a right to retain and use personal possessions, including furnishings and clothing, as space permits, unless to do so would infringe upon the rights or health and safety of other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Funds or properties received by the nursing facility belonging to or due a resident, expendable for the resident’s account, shall be trust funds.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Infants and children under the age of 16 shall not be admitted to health care facilities for adults unless given prior written approval by the department. A distinct part of a health care facility, segregated from the adult section, may be established based on a program of care submitted by the licensee or applicant which is commensurate with the needs of the residents of the health care facility and has received the department’s review and approval.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 health care facility, and no owner, administrator, employee or representative thereof shall act as guardian, trustee, or conservator for any resident’s property, unless such resident is related to the person acting as guardian within the third degree of consanguinity.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resident’s admission to a health care facility receiving reimbursement through the medical assistance program under Iowa Code chapter </w:t>
      </w:r>
      <w:hyperlink r:id="rId27">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facility shall ask the resident or the resident’s personal representative whether the resident is a veteran and shall document the response. If the facility determines that the resident is a potential veteran, the facility shall report the resident’s name along with the names of the resident’s spouse and any dependent children, as well as the name of the contact person for this information, to the Iowa department of veterans affairs. Where appropriate, the facility may also report such information to the Iowa department of human services.</w:t>
      </w:r>
    </w:p>
    <w:p>
      <w:pPr>
        <w:spacing w:before="0" w:after="0"/>
        <w:ind w:left="120"/>
        <w:jc w:val="both"/>
      </w:pPr>
      <w:r>
        <w:rPr>
          <w:rFonts w:ascii="Times New Roman" w:hAnsi="Times New Roman"/>
          <w:b w:val="false"/>
          <w:i w:val="false"/>
          <w:color w:val="000000"/>
          <w:sz w:val="22"/>
        </w:rPr>
        <w:t xml:space="preserve">If a resident is eligible for benefits through the United States Department of Veterans Affairs or other third-party payor, the facility first shall seek reimbursement from the identified payor source before seeking reimbursement from the medical assistance program established under Iowa Code chapter </w:t>
      </w:r>
      <w:hyperlink r:id="rId2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provisions of this paragraph shall not apply to the admission of an individual as a resident to a state mental health institute for acute psychiatric care or to the admission of an individual to the Iowa Veterans Home.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58.12(2)</w:t>
      </w:r>
      <w:r>
        <w:rPr>
          <w:rFonts w:ascii="Times New Roman" w:hAnsi="Times New Roman"/>
          <w:b w:val="false"/>
          <w:i w:val="false"/>
          <w:color w:val="000000"/>
          <w:sz w:val="22"/>
        </w:rPr>
        <w:t> </w:t>
      </w:r>
      <w:r>
        <w:rPr>
          <w:rFonts w:ascii="Times New Roman" w:hAnsi="Times New Roman"/>
          <w:b w:val="false"/>
          <w:i/>
          <w:color w:val="000000"/>
          <w:sz w:val="22"/>
        </w:rPr>
        <w:t xml:space="preserve">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notification shall be made to the resident, as well as the resident’s next of kin, legal representative, attending physician, and sponsoring agency, if any, prior to transfer or discharge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 arrangements shall be made by the nursing facility for the welfare of the resident prior to transfer or discharge in the event of an emergency or inability to reach the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not refuse to discharge or transfer a resident when the physician, family, resident, or legal representative requests such a discharge or transfer.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Advance notification will be made to the receiving facility prior to the transfer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resident is transferred or discharged, the appropriate record as set forth in </w:t>
      </w:r>
      <w:hyperlink r:id="rId29">
        <w:r>
          <w:rPr>
            <w:rStyle w:val="Hyperlink"/>
            <w:rFonts w:ascii="Times New Roman" w:hAnsi="Times New Roman"/>
            <w:b w:val="false"/>
            <w:i w:val="false"/>
            <w:color w:val="000000"/>
            <w:sz w:val="22"/>
          </w:rPr>
          <w:t>58.15(2)</w:t>
        </w:r>
        <w:r>
          <w:rPr>
            <w:rFonts w:ascii="Times New Roman" w:hAnsi="Times New Roman"/>
            <w:b w:val="false"/>
            <w:i/>
            <w:color w:val="000000"/>
            <w:sz w:val="22"/>
          </w:rPr>
          <w:t>“k”</w:t>
        </w:r>
      </w:hyperlink>
      <w:r>
        <w:rPr>
          <w:rFonts w:ascii="Times New Roman" w:hAnsi="Times New Roman"/>
          <w:b w:val="false"/>
          <w:i w:val="false"/>
          <w:color w:val="000000"/>
          <w:sz w:val="22"/>
        </w:rPr>
        <w:t xml:space="preserve"> of these rules will accompany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the transfer or discharge of a resident to another health care facility, arrangements to provide for continuity of care shall be made with the facility to which the resident is being sent.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481—58.13</w:t>
      </w:r>
      <w:r>
        <w:rPr>
          <w:rFonts w:ascii="Times New Roman" w:hAnsi="Times New Roman"/>
          <w:b/>
          <w:i w:val="false"/>
          <w:color w:val="000000"/>
          <w:sz w:val="22"/>
        </w:rPr>
        <w:t xml:space="preserve">(135C) </w:t>
      </w:r>
      <w:r>
        <w:rPr>
          <w:rFonts w:ascii="Times New Roman" w:hAnsi="Times New Roman"/>
          <w:b/>
          <w:i w:val="false"/>
          <w:color w:val="000000"/>
          <w:sz w:val="22"/>
        </w:rPr>
        <w:t xml:space="preserve">Contracts. </w:t>
      </w:r>
      <w:r>
        <w:rPr>
          <w:rFonts w:ascii="Times New Roman" w:hAnsi="Times New Roman"/>
          <w:b w:val="false"/>
          <w:i w:val="false"/>
          <w:color w:val="000000"/>
          <w:sz w:val="22"/>
        </w:rPr>
        <w:t>Each contract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58.13(1)</w:t>
      </w:r>
      <w:r>
        <w:rPr>
          <w:rFonts w:ascii="Times New Roman" w:hAnsi="Times New Roman"/>
          <w:b w:val="false"/>
          <w:i w:val="false"/>
          <w:color w:val="000000"/>
          <w:sz w:val="22"/>
        </w:rPr>
        <w:t> </w:t>
      </w:r>
      <w:r>
        <w:rPr>
          <w:rFonts w:ascii="Times New Roman" w:hAnsi="Times New Roman"/>
          <w:b w:val="false"/>
          <w:i w:val="false"/>
          <w:color w:val="000000"/>
          <w:sz w:val="22"/>
        </w:rPr>
        <w:t>State the base rate or scale per day or per month, the services included, and the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58.13(2)</w:t>
      </w:r>
      <w:r>
        <w:rPr>
          <w:rFonts w:ascii="Times New Roman" w:hAnsi="Times New Roman"/>
          <w:b w:val="false"/>
          <w:i w:val="false"/>
          <w:color w:val="000000"/>
          <w:sz w:val="22"/>
        </w:rPr>
        <w:t> </w:t>
      </w:r>
      <w:r>
        <w:rPr>
          <w:rFonts w:ascii="Times New Roman" w:hAnsi="Times New Roman"/>
          <w:b w:val="false"/>
          <w:i w:val="false"/>
          <w:color w:val="000000"/>
          <w:sz w:val="22"/>
        </w:rPr>
        <w:t>Contain a complete schedule of all offered services for which a fee may be charged in addition to the base rate. Furthermore, the contract shall: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Stipulate that no further additional fees shall be charged for items not contained in complete schedule of services as set forth in </w:t>
      </w:r>
      <w:hyperlink r:id="rId30">
        <w:r>
          <w:rPr>
            <w:rStyle w:val="Hyperlink"/>
            <w:rFonts w:ascii="Times New Roman" w:hAnsi="Times New Roman"/>
            <w:b w:val="false"/>
            <w:i w:val="false"/>
            <w:color w:val="000000"/>
            <w:sz w:val="22"/>
          </w:rPr>
          <w:t>58.13(3)</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method of payment of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Contain an explanation of the method of assessment of such additional charges and an explanation of the method of periodic reassessment, if any, resulting in changing such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that additional fees may be charged to the resident for nonprescription drugs, other personal supplies, and services by a barber, beautician, etc.;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58.13(3)</w:t>
      </w:r>
      <w:r>
        <w:rPr>
          <w:rFonts w:ascii="Times New Roman" w:hAnsi="Times New Roman"/>
          <w:b w:val="false"/>
          <w:i w:val="false"/>
          <w:color w:val="000000"/>
          <w:sz w:val="22"/>
        </w:rPr>
        <w:t> </w:t>
      </w:r>
      <w:r>
        <w:rPr>
          <w:rFonts w:ascii="Times New Roman" w:hAnsi="Times New Roman"/>
          <w:b w:val="false"/>
          <w:i w:val="false"/>
          <w:color w:val="000000"/>
          <w:sz w:val="22"/>
        </w:rPr>
        <w:t>Contain an itemized list of those services, with the specific fee the resident will be charged and method of payment, as related to the resident’s current condition, based on the nursing assessment at the time of admission, which is determined in consultation with the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58.13(4)</w:t>
      </w:r>
      <w:r>
        <w:rPr>
          <w:rFonts w:ascii="Times New Roman" w:hAnsi="Times New Roman"/>
          <w:b w:val="false"/>
          <w:i w:val="false"/>
          <w:color w:val="000000"/>
          <w:sz w:val="22"/>
        </w:rPr>
        <w:t> </w:t>
      </w:r>
      <w:r>
        <w:rPr>
          <w:rFonts w:ascii="Times New Roman" w:hAnsi="Times New Roman"/>
          <w:b w:val="false"/>
          <w:i w:val="false"/>
          <w:color w:val="000000"/>
          <w:sz w:val="22"/>
        </w:rPr>
        <w:t>Include the total fee to be charged initially to the specific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58.13(5)</w:t>
      </w:r>
      <w:r>
        <w:rPr>
          <w:rFonts w:ascii="Times New Roman" w:hAnsi="Times New Roman"/>
          <w:b w:val="false"/>
          <w:i w:val="false"/>
          <w:color w:val="000000"/>
          <w:sz w:val="22"/>
        </w:rPr>
        <w:t> </w:t>
      </w:r>
      <w:r>
        <w:rPr>
          <w:rFonts w:ascii="Times New Roman" w:hAnsi="Times New Roman"/>
          <w:b w:val="false"/>
          <w:i w:val="false"/>
          <w:color w:val="000000"/>
          <w:sz w:val="22"/>
        </w:rPr>
        <w:t>State the conditions whereby the facility may make adjustments to the facility’s overall fees for resident care as a result of changing costs. (III) Furthermore, the contract shall provide that the facility shall give: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notification to the resident, or responsible party when appropriate, of changes in the overall rates of both base and additional charges at least 30 days prior to effective date of such changes;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to the resident, or responsible party when appropriate, of changes in additional charges, based on a change in the resident’s condition. Notification must occur prior to the date such revised additional charges begin. If notification is given orally, subsequent written notification must also be given within a reasonable time, not to exceed one week, listing specifically the adjustments made;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58.13(6)</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in regard to refund of all advance payments in the event of transfer, death, voluntary or involuntary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58.13(7)</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concerning the holding and charging for a bed when a resident is hospitalized or leaves the facility temporarily for recreational or therapeutic reasons. The terms shall contain a provision that the bed will be held at the request of the resident or the resident’s responsible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ask the resident or responsible party if the resident wants the bed held. This request shall be made before the resident leaves or within 48 hours after the resident leaves. The inquiry and the response shall be documented.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reserve the bed when requested for as long as payments are made in accordance with the contract.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58.13(8)</w:t>
      </w:r>
      <w:r>
        <w:rPr>
          <w:rFonts w:ascii="Times New Roman" w:hAnsi="Times New Roman"/>
          <w:b w:val="false"/>
          <w:i w:val="false"/>
          <w:color w:val="000000"/>
          <w:sz w:val="22"/>
        </w:rPr>
        <w:t> </w:t>
      </w:r>
      <w:r>
        <w:rPr>
          <w:rFonts w:ascii="Times New Roman" w:hAnsi="Times New Roman"/>
          <w:b w:val="false"/>
          <w:i w:val="false"/>
          <w:color w:val="000000"/>
          <w:sz w:val="22"/>
        </w:rPr>
        <w:t>State the conditions under which the involuntary discharge or transfer of a resident would be effected;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58.13(9)</w:t>
      </w:r>
      <w:r>
        <w:rPr>
          <w:rFonts w:ascii="Times New Roman" w:hAnsi="Times New Roman"/>
          <w:b w:val="false"/>
          <w:i w:val="false"/>
          <w:color w:val="000000"/>
          <w:sz w:val="22"/>
        </w:rPr>
        <w:t> </w:t>
      </w:r>
      <w:r>
        <w:rPr>
          <w:rFonts w:ascii="Times New Roman" w:hAnsi="Times New Roman"/>
          <w:b w:val="false"/>
          <w:i w:val="false"/>
          <w:color w:val="000000"/>
          <w:sz w:val="22"/>
        </w:rPr>
        <w:t>State the conditions of voluntary 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58.13(10)</w:t>
      </w:r>
      <w:r>
        <w:rPr>
          <w:rFonts w:ascii="Times New Roman" w:hAnsi="Times New Roman"/>
          <w:b w:val="false"/>
          <w:i w:val="false"/>
          <w:color w:val="000000"/>
          <w:sz w:val="22"/>
        </w:rPr>
        <w:t> </w:t>
      </w:r>
      <w:r>
        <w:rPr>
          <w:rFonts w:ascii="Times New Roman" w:hAnsi="Times New Roman"/>
          <w:b w:val="false"/>
          <w:i w:val="false"/>
          <w:color w:val="000000"/>
          <w:sz w:val="22"/>
        </w:rPr>
        <w:t>Set forth any other matters deemed appropriate by the parties to the contract. No contract or any provision thereof shall be drawn or construed so as to relieve any health care facility of any requirement or obligation imposed upon it by this chapter or any standards or rules in force pursuant to this chapter;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58.13(11)</w:t>
      </w:r>
      <w:r>
        <w:rPr>
          <w:rFonts w:ascii="Times New Roman" w:hAnsi="Times New Roman"/>
          <w:b w:val="false"/>
          <w:i w:val="false"/>
          <w:color w:val="000000"/>
          <w:sz w:val="22"/>
        </w:rPr>
        <w:t> </w:t>
      </w:r>
      <w:r>
        <w:rPr>
          <w:rFonts w:ascii="Times New Roman" w:hAnsi="Times New Roman"/>
          <w:b w:val="false"/>
          <w:i w:val="false"/>
          <w:color w:val="000000"/>
          <w:sz w:val="22"/>
        </w:rPr>
        <w:t>Each party shall receive a copy of the signed contract. (III)</w:t>
      </w:r>
    </w:p>
    <w:p>
      <w:pPr>
        <w:spacing w:before="0" w:after="0"/>
        <w:ind w:left="120"/>
        <w:jc w:val="both"/>
      </w:pPr>
      <w:r>
        <w:rPr>
          <w:rFonts w:ascii="Times New Roman" w:hAnsi="Times New Roman"/>
          <w:b/>
          <w:i w:val="false"/>
          <w:color w:val="000000"/>
          <w:sz w:val="22"/>
        </w:rPr>
        <w:t>481—58.14</w:t>
      </w:r>
      <w:r>
        <w:rPr>
          <w:rFonts w:ascii="Times New Roman" w:hAnsi="Times New Roman"/>
          <w:b/>
          <w:i w:val="false"/>
          <w:color w:val="000000"/>
          <w:sz w:val="22"/>
        </w:rPr>
        <w:t xml:space="preserve">(135C) </w:t>
      </w:r>
      <w:r>
        <w:rPr>
          <w:rFonts w:ascii="Times New Roman" w:hAnsi="Times New Roman"/>
          <w:b/>
          <w:i w:val="false"/>
          <w:color w:val="000000"/>
          <w:sz w:val="22"/>
        </w:rPr>
        <w:t xml:space="preserve">Medical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58.14(1)</w:t>
      </w:r>
      <w:r>
        <w:rPr>
          <w:rFonts w:ascii="Times New Roman" w:hAnsi="Times New Roman"/>
          <w:b w:val="false"/>
          <w:i w:val="false"/>
          <w:color w:val="000000"/>
          <w:sz w:val="22"/>
        </w:rPr>
        <w:t> </w:t>
      </w:r>
      <w:r>
        <w:rPr>
          <w:rFonts w:ascii="Times New Roman" w:hAnsi="Times New Roman"/>
          <w:b w:val="false"/>
          <w:i w:val="false"/>
          <w:color w:val="000000"/>
          <w:sz w:val="22"/>
        </w:rPr>
        <w:t>Each resident in a nursing facility shall designate a licensed physician who may be called when needed. Professional management of a resident’s care shall be the responsibility of the hospice program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is terminally ill,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has elected to receive hospice services under the federal Medicare program from a Medicare-certified hospice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and the hospice program have entered into a written agreement under which the hospice program takes full responsibility for the professional management of hospice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58.14(2)</w:t>
      </w:r>
      <w:r>
        <w:rPr>
          <w:rFonts w:ascii="Times New Roman" w:hAnsi="Times New Roman"/>
          <w:b w:val="false"/>
          <w:i w:val="false"/>
          <w:color w:val="000000"/>
          <w:sz w:val="22"/>
        </w:rPr>
        <w:t> </w:t>
      </w:r>
      <w:r>
        <w:rPr>
          <w:rFonts w:ascii="Times New Roman" w:hAnsi="Times New Roman"/>
          <w:b w:val="false"/>
          <w:i w:val="false"/>
          <w:color w:val="000000"/>
          <w:sz w:val="22"/>
        </w:rPr>
        <w:t>Each resident admitted to a nursing facility shall have had a physical examination prior to admission. If the resident is admitted directly from a hospital, a copy of the hospital admission physical and discharge summary may be made part of the record in lieu of an additional physical examination. A record of the examination, signed by the physician or other qualifying health care practitioner, shall be a part of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58.14(3)</w:t>
      </w:r>
      <w:r>
        <w:rPr>
          <w:rFonts w:ascii="Times New Roman" w:hAnsi="Times New Roman"/>
          <w:b w:val="false"/>
          <w:i w:val="false"/>
          <w:color w:val="000000"/>
          <w:sz w:val="22"/>
        </w:rPr>
        <w:t> </w:t>
      </w:r>
      <w:r>
        <w:rPr>
          <w:rFonts w:ascii="Times New Roman" w:hAnsi="Times New Roman"/>
          <w:b w:val="false"/>
          <w:i w:val="false"/>
          <w:color w:val="000000"/>
          <w:sz w:val="22"/>
        </w:rPr>
        <w:t>Arrangements shall be made to have a physician available to furnish medical care in case of emergency.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58.14(4)</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58.14(5)</w:t>
      </w:r>
      <w:r>
        <w:rPr>
          <w:rFonts w:ascii="Times New Roman" w:hAnsi="Times New Roman"/>
          <w:b w:val="false"/>
          <w:i w:val="false"/>
          <w:color w:val="000000"/>
          <w:sz w:val="22"/>
        </w:rPr>
        <w:t> </w:t>
      </w:r>
      <w:r>
        <w:rPr>
          <w:rFonts w:ascii="Times New Roman" w:hAnsi="Times New Roman"/>
          <w:b w:val="false"/>
          <w:i w:val="false"/>
          <w:color w:val="000000"/>
          <w:sz w:val="22"/>
        </w:rPr>
        <w:t>The person in charge shall immediately notify the physician of any accident, injury, or adverse change in the resident’s condition.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58.14(6)</w:t>
      </w:r>
      <w:r>
        <w:rPr>
          <w:rFonts w:ascii="Times New Roman" w:hAnsi="Times New Roman"/>
          <w:b w:val="false"/>
          <w:i w:val="false"/>
          <w:color w:val="000000"/>
          <w:sz w:val="22"/>
        </w:rPr>
        <w:t> </w:t>
      </w:r>
      <w:r>
        <w:rPr>
          <w:rFonts w:ascii="Times New Roman" w:hAnsi="Times New Roman"/>
          <w:b w:val="false"/>
          <w:i w:val="false"/>
          <w:color w:val="000000"/>
          <w:sz w:val="22"/>
        </w:rPr>
        <w:t>A schedule listing the names and telephone numbers of the physicians shall be readily available to nursing staff.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58.14(7)</w:t>
      </w:r>
      <w:r>
        <w:rPr>
          <w:rFonts w:ascii="Times New Roman" w:hAnsi="Times New Roman"/>
          <w:b w:val="false"/>
          <w:i w:val="false"/>
          <w:color w:val="000000"/>
          <w:sz w:val="22"/>
        </w:rPr>
        <w:t> </w:t>
      </w:r>
      <w:r>
        <w:rPr>
          <w:rFonts w:ascii="Times New Roman" w:hAnsi="Times New Roman"/>
          <w:b w:val="false"/>
          <w:i w:val="false"/>
          <w:color w:val="000000"/>
          <w:sz w:val="22"/>
        </w:rPr>
        <w:t>Residents shall be admitted to a nursing facility only on a written order signed by a physician certifying that the individual being admitted requires no greater degree of nursing care than the facility is licensed to provide.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58.14(8)</w:t>
      </w:r>
      <w:r>
        <w:rPr>
          <w:rFonts w:ascii="Times New Roman" w:hAnsi="Times New Roman"/>
          <w:b w:val="false"/>
          <w:i w:val="false"/>
          <w:color w:val="000000"/>
          <w:sz w:val="22"/>
        </w:rPr>
        <w:t> </w:t>
      </w:r>
      <w:r>
        <w:rPr>
          <w:rFonts w:ascii="Times New Roman" w:hAnsi="Times New Roman"/>
          <w:b w:val="false"/>
          <w:i w:val="false"/>
          <w:color w:val="000000"/>
          <w:sz w:val="22"/>
        </w:rPr>
        <w:t>Physician delegation of tasks. Each resident, including private pay residents, shall be visited by or shall visit the resident’s physician at least twice a year. The year period shall be measured from the date of admission and is not to include preadmission physicals.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skilled nursing patient, the resident must be seen by a physician for the initial comprehensive visit. Additional visits are required at least once every 30 days for 90 days after admission and at least once every 60 days thereafter. After the initial comprehensive visit, alternate required visits may be performed by an advanced registered nurse practitioner, clinical nurse specialist or physician assistant who is working in collaboration with a physician, as outlined in Table 1.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Notwithstanding the provisions of 42 CFR 483.40, any required physician task or visit in a nursing facility may also be performed by an advanced registered nurse practitioner, clinical nurse specialist, or physician assistant who is working in collaboration with a physician, as outlined in Table 1.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dually certified skilled nursing/nursing facilities, the advanced registered nurse practitioner, clinical nurse specialist, and physician assistant must follow the skilled nursing facility requirements for services for skilled nursing facility stays. For nursing facility stays in skilled nursing/nursing facilities, any required physician task or visit may be performed by an advanced registered nurse practitioner, clinical nurse specialist, or physician assistant working in collaboration with the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Nurse practitioners, clinical nurse specialists, and physician assistants may perform other tasks that are not reserved to the physician such as visits outside the normal schedule needed to address new symptoms or other changes in medical status. (III)</w:t>
      </w:r>
    </w:p>
    <w:p>
      <w:pPr>
        <w:spacing w:before="0" w:after="0"/>
        <w:ind w:left="120"/>
        <w:jc w:val="center"/>
      </w:pPr>
      <w:r>
        <w:rPr>
          <w:rFonts w:ascii="Times New Roman" w:hAnsi="Times New Roman"/>
          <w:b w:val="false"/>
          <w:i w:val="false"/>
          <w:color w:val="000000"/>
          <w:sz w:val="22"/>
        </w:rPr>
        <w:t>Table 1:</w:t>
      </w:r>
      <w:r>
        <w:rPr>
          <w:rFonts w:ascii="Times New Roman" w:hAnsi="Times New Roman"/>
          <w:b w:val="false"/>
          <w:i w:val="false"/>
          <w:color w:val="000000"/>
          <w:sz w:val="22"/>
        </w:rPr>
        <w:t> </w:t>
      </w:r>
    </w:p>
    <w:p>
      <w:pPr>
        <w:spacing w:before="0" w:after="0"/>
        <w:ind w:left="0"/>
        <w:jc w:val="center"/>
      </w:pPr>
      <w:r>
        <w:rPr>
          <w:rFonts w:ascii="Times New Roman" w:hAnsi="Times New Roman"/>
          <w:b w:val="false"/>
          <w:i w:val="false"/>
          <w:color w:val="000000"/>
          <w:sz w:val="22"/>
        </w:rPr>
        <w:t>Authority for non-physician practitioners to perform visits, sign orders, and sign certifications/recertifications when permitted by state law*</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96"/>
        <w:gridCol w:w="2466"/>
        <w:gridCol w:w="2350"/>
        <w:gridCol w:w="2235"/>
        <w:gridCol w:w="1773"/>
      </w:tblGrid>
      <w:tr>
        <w:trPr>
          <w:trHeight w:val="585" w:hRule="atLeast"/>
        </w:trPr>
        <w:tc>
          <w:tcPr>
            <w:tcW w:w="26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6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Initial Comprehensive Visit/Orders</w:t>
            </w:r>
          </w:p>
        </w:tc>
        <w:tc>
          <w:tcPr>
            <w:tcW w:w="23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Other Required Visits1</w:t>
            </w:r>
          </w:p>
        </w:tc>
        <w:tc>
          <w:tcPr>
            <w:tcW w:w="22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Other Medically Necessary Visits and Orders2</w:t>
            </w:r>
          </w:p>
        </w:tc>
        <w:tc>
          <w:tcPr>
            <w:tcW w:w="177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Certification/</w:t>
            </w:r>
            <w:r>
              <w:br/>
            </w:r>
            <w:r>
              <w:rPr>
                <w:rFonts w:ascii="Times New Roman" w:hAnsi="Times New Roman"/>
                <w:b w:val="false"/>
                <w:i w:val="false"/>
                <w:color w:val="000000"/>
                <w:sz w:val="16"/>
              </w:rPr>
              <w:t>Recertification</w:t>
            </w:r>
          </w:p>
        </w:tc>
      </w:tr>
      <w:tr>
        <w:trPr>
          <w:trHeight w:val="225" w:hRule="atLeast"/>
        </w:trPr>
        <w:tc>
          <w:tcPr>
            <w:tcW w:w="0" w:type="auto"/>
            <w:gridSpan w:val="5"/>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Skilled Nursing Facilities</w:t>
            </w:r>
          </w:p>
        </w:tc>
      </w:tr>
      <w:tr>
        <w:trPr>
          <w:trHeight w:val="765" w:hRule="atLeast"/>
        </w:trPr>
        <w:tc>
          <w:tcPr>
            <w:tcW w:w="26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 assistant, nurse practitioner and clinical nurse specialist employed by the facility</w:t>
            </w:r>
          </w:p>
        </w:tc>
        <w:tc>
          <w:tcPr>
            <w:tcW w:w="246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not perform/May not sign</w:t>
            </w:r>
          </w:p>
        </w:tc>
        <w:tc>
          <w:tcPr>
            <w:tcW w:w="23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alternate visits</w:t>
            </w:r>
          </w:p>
        </w:tc>
        <w:tc>
          <w:tcPr>
            <w:tcW w:w="22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and sign</w:t>
            </w:r>
          </w:p>
        </w:tc>
        <w:tc>
          <w:tcPr>
            <w:tcW w:w="1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not sign</w:t>
            </w:r>
          </w:p>
        </w:tc>
      </w:tr>
      <w:tr>
        <w:trPr>
          <w:trHeight w:val="765" w:hRule="atLeast"/>
        </w:trPr>
        <w:tc>
          <w:tcPr>
            <w:tcW w:w="26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 assistant, nurse practitioner and clinical nurse specialist not a facility employee</w:t>
            </w:r>
          </w:p>
        </w:tc>
        <w:tc>
          <w:tcPr>
            <w:tcW w:w="246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not perform/May not sign</w:t>
            </w:r>
          </w:p>
        </w:tc>
        <w:tc>
          <w:tcPr>
            <w:tcW w:w="23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alternate visits</w:t>
            </w:r>
          </w:p>
        </w:tc>
        <w:tc>
          <w:tcPr>
            <w:tcW w:w="22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and sign</w:t>
            </w:r>
          </w:p>
        </w:tc>
        <w:tc>
          <w:tcPr>
            <w:tcW w:w="1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sign subject to state requirements</w:t>
            </w:r>
          </w:p>
        </w:tc>
      </w:tr>
      <w:tr>
        <w:trPr>
          <w:trHeight w:val="225" w:hRule="atLeast"/>
        </w:trPr>
        <w:tc>
          <w:tcPr>
            <w:tcW w:w="0" w:type="auto"/>
            <w:gridSpan w:val="5"/>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Facilities</w:t>
            </w:r>
          </w:p>
        </w:tc>
      </w:tr>
      <w:tr>
        <w:trPr>
          <w:trHeight w:val="765" w:hRule="atLeast"/>
        </w:trPr>
        <w:tc>
          <w:tcPr>
            <w:tcW w:w="26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Nurse practitioner, clinical nurse specialist, and physician assistant employed by the facility</w:t>
            </w:r>
          </w:p>
        </w:tc>
        <w:tc>
          <w:tcPr>
            <w:tcW w:w="246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not perform/May not sign</w:t>
            </w:r>
          </w:p>
        </w:tc>
        <w:tc>
          <w:tcPr>
            <w:tcW w:w="23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not perform</w:t>
            </w:r>
          </w:p>
        </w:tc>
        <w:tc>
          <w:tcPr>
            <w:tcW w:w="22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and sign</w:t>
            </w:r>
          </w:p>
        </w:tc>
        <w:tc>
          <w:tcPr>
            <w:tcW w:w="1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 applicable+</w:t>
            </w:r>
          </w:p>
        </w:tc>
      </w:tr>
      <w:tr>
        <w:trPr>
          <w:trHeight w:val="765" w:hRule="atLeast"/>
        </w:trPr>
        <w:tc>
          <w:tcPr>
            <w:tcW w:w="26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Nurse practitioner, clinical nurse specialist, and physician assistant not a facility employee</w:t>
            </w:r>
          </w:p>
        </w:tc>
        <w:tc>
          <w:tcPr>
            <w:tcW w:w="246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perform/May sign</w:t>
            </w:r>
          </w:p>
        </w:tc>
        <w:tc>
          <w:tcPr>
            <w:tcW w:w="23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w:t>
            </w:r>
          </w:p>
        </w:tc>
        <w:tc>
          <w:tcPr>
            <w:tcW w:w="223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May perform and sign</w:t>
            </w:r>
          </w:p>
        </w:tc>
        <w:tc>
          <w:tcPr>
            <w:tcW w:w="17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 applicable+</w:t>
            </w:r>
          </w:p>
        </w:tc>
      </w:tr>
    </w:tbl>
    <w:p>
      <w:pPr>
        <w:spacing w:before="0" w:after="0"/>
        <w:ind w:left="120"/>
        <w:jc w:val="both"/>
      </w:pPr>
      <w:r>
        <w:rPr>
          <w:rFonts w:ascii="Times New Roman" w:hAnsi="Times New Roman"/>
          <w:b w:val="false"/>
          <w:i w:val="false"/>
          <w:color w:val="000000"/>
          <w:sz w:val="22"/>
        </w:rPr>
        <w:t>*As permitted by state law governing the scope and practice of nurse practitioners, clinical nurse specialists, and physician assistants.</w:t>
      </w:r>
    </w:p>
    <w:p>
      <w:pPr>
        <w:spacing w:before="0" w:after="0"/>
        <w:ind w:left="120"/>
        <w:jc w:val="both"/>
      </w:pPr>
      <w:r>
        <w:rPr>
          <w:rFonts w:ascii="Times New Roman" w:hAnsi="Times New Roman"/>
          <w:b w:val="false"/>
          <w:i w:val="false"/>
          <w:color w:val="000000"/>
          <w:sz w:val="15"/>
        </w:rPr>
        <w:t>1 Other required visits include the skilled nursing resident monthly visits that may be alternated between physician and advanced registered nurse practitioners, clinical nurse specialists, or physician assistants after the initial comprehensive visit is completed.</w:t>
      </w:r>
    </w:p>
    <w:p>
      <w:pPr>
        <w:spacing w:before="0" w:after="0"/>
        <w:ind w:left="120"/>
        <w:jc w:val="both"/>
      </w:pPr>
      <w:r>
        <w:rPr>
          <w:rFonts w:ascii="Times New Roman" w:hAnsi="Times New Roman"/>
          <w:b w:val="false"/>
          <w:i w:val="false"/>
          <w:color w:val="000000"/>
          <w:sz w:val="15"/>
        </w:rPr>
        <w:t>2 Medically necessary visits may be performed prior to the initial comprehensive visit.</w:t>
      </w:r>
    </w:p>
    <w:p>
      <w:pPr>
        <w:spacing w:before="0" w:after="0"/>
        <w:ind w:left="120"/>
        <w:jc w:val="both"/>
      </w:pPr>
      <w:r>
        <w:rPr>
          <w:rFonts w:ascii="Times New Roman" w:hAnsi="Times New Roman"/>
          <w:b w:val="false"/>
          <w:i w:val="false"/>
          <w:color w:val="000000"/>
          <w:sz w:val="15"/>
        </w:rPr>
        <w:t>+ This requirement relates specifically to coverage of Part A Medicare stays, which can take place only in a Medicare-certified skilled nursing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1048C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481—58.15</w:t>
      </w:r>
      <w:r>
        <w:rPr>
          <w:rFonts w:ascii="Times New Roman" w:hAnsi="Times New Roman"/>
          <w:b/>
          <w:i w:val="false"/>
          <w:color w:val="000000"/>
          <w:sz w:val="22"/>
        </w:rPr>
        <w:t xml:space="preserve">(135C)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58.15(1)</w:t>
      </w:r>
      <w:r>
        <w:rPr>
          <w:rFonts w:ascii="Times New Roman" w:hAnsi="Times New Roman"/>
          <w:b w:val="false"/>
          <w:i w:val="false"/>
          <w:color w:val="000000"/>
          <w:sz w:val="22"/>
        </w:rPr>
        <w:t> </w:t>
      </w:r>
      <w:r>
        <w:rPr>
          <w:rFonts w:ascii="Times New Roman" w:hAnsi="Times New Roman"/>
          <w:b w:val="false"/>
          <w:i/>
          <w:color w:val="000000"/>
          <w:sz w:val="22"/>
        </w:rPr>
        <w:t xml:space="preserve">Resident admission record. </w:t>
      </w:r>
      <w:r>
        <w:rPr>
          <w:rFonts w:ascii="Times New Roman" w:hAnsi="Times New Roman"/>
          <w:b w:val="false"/>
          <w:i w:val="false"/>
          <w:color w:val="000000"/>
          <w:sz w:val="22"/>
        </w:rPr>
        <w:t>The licensee shall keep a permanent record on all residents admitted to a nursing facility with all entries current, dated, and signed. This shall be a part of the resident clinical record. (III) The admission record form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previous address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Church affiliation;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Dentist’s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person to be notified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Mortician’s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Pharmacist’s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58.15(2)</w:t>
      </w:r>
      <w:r>
        <w:rPr>
          <w:rFonts w:ascii="Times New Roman" w:hAnsi="Times New Roman"/>
          <w:b w:val="false"/>
          <w:i w:val="false"/>
          <w:color w:val="000000"/>
          <w:sz w:val="22"/>
        </w:rPr>
        <w:t> </w:t>
      </w:r>
      <w:r>
        <w:rPr>
          <w:rFonts w:ascii="Times New Roman" w:hAnsi="Times New Roman"/>
          <w:b w:val="false"/>
          <w:i/>
          <w:color w:val="000000"/>
          <w:sz w:val="22"/>
        </w:rPr>
        <w:t xml:space="preserve">Resident clinical record. </w:t>
      </w:r>
      <w:r>
        <w:rPr>
          <w:rFonts w:ascii="Times New Roman" w:hAnsi="Times New Roman"/>
          <w:b w:val="false"/>
          <w:i w:val="false"/>
          <w:color w:val="000000"/>
          <w:sz w:val="22"/>
        </w:rPr>
        <w:t>There shall be a separate clinical record for each resident admitted to a nursing facility with all entries current, dated, and signed. (III) The resident clinical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Admission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Admission diagnosis;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of the admission physical examination described in </w:t>
      </w:r>
      <w:hyperlink r:id="rId31">
        <w:r>
          <w:rPr>
            <w:rStyle w:val="Hyperlink"/>
            <w:rFonts w:ascii="Times New Roman" w:hAnsi="Times New Roman"/>
            <w:b w:val="false"/>
            <w:i w:val="false"/>
            <w:color w:val="000000"/>
            <w:sz w:val="22"/>
          </w:rPr>
          <w:t>subrule 58.14(2)</w:t>
        </w:r>
      </w:hyperlink>
      <w:r>
        <w:rPr>
          <w:rFonts w:ascii="Times New Roman" w:hAnsi="Times New Roman"/>
          <w:b w:val="false"/>
          <w:i w:val="false"/>
          <w:color w:val="000000"/>
          <w:sz w:val="22"/>
        </w:rPr>
        <w:t>. It shall include the resident’s name, sex, age, pertinent medical history, current medical status, tuberculosis status, and any other information required to adequately assess the resident and whether the facility is able to meet the resident’s needs;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certification that the resident requires no greater degree of nursing care than the facility is licensed to provide;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Orders for medication, treatment, and diet in writing and signed by an appropriate qualifying health care practitioner quarterly;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shall enter a progress note at the time of each visit;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professionals, i.e., dentists, social workers, physical therapists, pharmacists, and others shall enter a progress note at the time of each visit;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laboratory, X-ray, and other diagnostic reports;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Nurse’s record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Admitting notes including time and mode of transportation; room assignment; disposition of valuables; symptoms and complaints; general condition; vital signs; and weight;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Routine notes including physician’s visits; telephone calls to and from the physician; unusual incidents and accidents; change of condition; social interaction; and P.R.N. medications administered including time and reason administered, and resident’s reaction;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Discharge or transfer notes including time and mode of transportation; resident’s general condition; instructions given to resident or legal representative; list of medications and disposition; and completion of transfer form for continuity of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Death notes including notification of physician and family to include time, disposition of body, resident’s personal possessions and medications; and complete and accurate notes of resident’s vital signs and symptoms preceding death;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accurate record of all medications administered shall be maintained for each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Schedule II drug records shall be kept in accordance with state and federal laws;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Death record. In the event of a resident’s death, notations in the resident’s record shall include the date and time of the resident’s death, the circumstances of the resident’s death, the disposition of the resident’s body, and the date and time that the resident’s family and physician were notified of the resident’s death;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Transfer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transfer form shall include identification data from the admission record, name of transferring institution, name of receiving institution, and date of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nurse’s report shall include resident attitudes, behavior, interests, functional abilities (activities of daily living), unusual treatments, nursing care, problems, likes and dislikes, nutrition, current medications (when last given), and condition on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physician’s report shall include reason for transfer, medications, treatment, diet, activities, significant laboratory and X-ray findings, and diagnosis and prognosis;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Consultation reports shall indicate services rendered by allied health professionals in the facility or in health-centered agencies such as dentists, physical therapists, podiatrists, oculists, and others.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58.15(3)</w:t>
      </w:r>
      <w:r>
        <w:rPr>
          <w:rFonts w:ascii="Times New Roman" w:hAnsi="Times New Roman"/>
          <w:b w:val="false"/>
          <w:i w:val="false"/>
          <w:color w:val="000000"/>
          <w:sz w:val="22"/>
        </w:rPr>
        <w:t> </w:t>
      </w:r>
      <w:r>
        <w:rPr>
          <w:rFonts w:ascii="Times New Roman" w:hAnsi="Times New Roman"/>
          <w:b w:val="false"/>
          <w:i/>
          <w:color w:val="000000"/>
          <w:sz w:val="22"/>
        </w:rPr>
        <w:t xml:space="preserve">Resident personal record. </w:t>
      </w:r>
      <w:r>
        <w:rPr>
          <w:rFonts w:ascii="Times New Roman" w:hAnsi="Times New Roman"/>
          <w:b w:val="false"/>
          <w:i w:val="false"/>
          <w:color w:val="000000"/>
          <w:sz w:val="22"/>
        </w:rPr>
        <w:t>Personal records may be kept as a separate file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records may include factual information regarding personal statistics, family and responsible relative resources, financial status, and other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Personal records shall be accessible to professional staff involved in planning for services to meet the needs of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resident’s records are closed, the information shall become a part of the final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Personal records shall include a duplicate copy of the contract(s).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58.15(4)</w:t>
      </w:r>
      <w:r>
        <w:rPr>
          <w:rFonts w:ascii="Times New Roman" w:hAnsi="Times New Roman"/>
          <w:b w:val="false"/>
          <w:i w:val="false"/>
          <w:color w:val="000000"/>
          <w:sz w:val="22"/>
        </w:rPr>
        <w:t> </w:t>
      </w:r>
      <w:r>
        <w:rPr>
          <w:rFonts w:ascii="Times New Roman" w:hAnsi="Times New Roman"/>
          <w:b w:val="false"/>
          <w:i/>
          <w:color w:val="000000"/>
          <w:sz w:val="22"/>
        </w:rPr>
        <w:t xml:space="preserve">Incident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nursing facility shall maintain an incident record report and shall have available incident report forms.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of incidents shall be in detail on a printed incident report form or electronic form.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prepare and sign the report.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report shall cover all accidents where there is apparent injury or where hidden injury may have occurred.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report shall cover all accidents or unusual occurrences within the facility or on the premises affecting residents, visitors, or employees.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58.15(5)</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in the facility for five years following termination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within the facility upon change of ownership.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the resident’s record shall be released to the facility to which the resident is transferred. If no transfer occurs, the record shall be released to the individual’s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58.15(6)</w:t>
      </w:r>
      <w:r>
        <w:rPr>
          <w:rFonts w:ascii="Times New Roman" w:hAnsi="Times New Roman"/>
          <w:b w:val="false"/>
          <w:i w:val="false"/>
          <w:color w:val="000000"/>
          <w:sz w:val="22"/>
        </w:rPr>
        <w:t> </w:t>
      </w:r>
      <w:r>
        <w:rPr>
          <w:rFonts w:ascii="Times New Roman" w:hAnsi="Times New Roman"/>
          <w:b w:val="false"/>
          <w:i/>
          <w:color w:val="000000"/>
          <w:sz w:val="22"/>
        </w:rPr>
        <w:t xml:space="preserve">Reports to the department. </w:t>
      </w:r>
      <w:r>
        <w:rPr>
          <w:rFonts w:ascii="Times New Roman" w:hAnsi="Times New Roman"/>
          <w:b w:val="false"/>
          <w:i w:val="false"/>
          <w:color w:val="000000"/>
          <w:sz w:val="22"/>
        </w:rPr>
        <w:t>The licensee shall furnish statistical information concerning the operation of the facility to the department on request.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58.15(7)</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employment record shall be kept for each employee, consisting of the following information: name and address of employee, social security number of employee, date of birth of employee, date of employment, experience and education, references, position in the home, criminal history and dependent adult abuse background checks, and date and reason for discharge or resignation.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personnel records shall be made available for review upon request by the department.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481—58.16</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care and personal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58.16(1)</w:t>
      </w:r>
      <w:r>
        <w:rPr>
          <w:rFonts w:ascii="Times New Roman" w:hAnsi="Times New Roman"/>
          <w:b w:val="false"/>
          <w:i w:val="false"/>
          <w:color w:val="000000"/>
          <w:sz w:val="22"/>
        </w:rPr>
        <w:t> </w:t>
      </w:r>
      <w:r>
        <w:rPr>
          <w:rFonts w:ascii="Times New Roman" w:hAnsi="Times New Roman"/>
          <w:b w:val="false"/>
          <w:i w:val="false"/>
          <w:color w:val="000000"/>
          <w:sz w:val="22"/>
        </w:rPr>
        <w:t>Beds shall be made daily and adjusted as necessary. A complete change of linen shall be made at least once a week and more often if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58.16(2)</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sufficient supervision so that their personal cleanliness is maintained.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58.16(3)</w:t>
      </w:r>
      <w:r>
        <w:rPr>
          <w:rFonts w:ascii="Times New Roman" w:hAnsi="Times New Roman"/>
          <w:b w:val="false"/>
          <w:i w:val="false"/>
          <w:color w:val="000000"/>
          <w:sz w:val="22"/>
        </w:rPr>
        <w:t> </w:t>
      </w:r>
      <w:r>
        <w:rPr>
          <w:rFonts w:ascii="Times New Roman" w:hAnsi="Times New Roman"/>
          <w:b w:val="false"/>
          <w:i w:val="false"/>
          <w:color w:val="000000"/>
          <w:sz w:val="22"/>
        </w:rPr>
        <w:t>Residents shall have clean clothing as needed to present a neat appearance, to be free of odors, and to be comfortable. Clothing shall be based on resident choice and shall be appropriate to residents’ activities and to the weather.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58.16(4)</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58.16(5)</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to leave their rooms and make use of the recreational room or living room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58.16(6)</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required to pass through another’s bedroom to reach a bathroom, living room, dining room, corridor, or other common areas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58.16(7)</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58.16(8)</w:t>
      </w:r>
      <w:r>
        <w:rPr>
          <w:rFonts w:ascii="Times New Roman" w:hAnsi="Times New Roman"/>
          <w:b w:val="false"/>
          <w:i w:val="false"/>
          <w:color w:val="000000"/>
          <w:sz w:val="22"/>
        </w:rPr>
        <w:t> </w:t>
      </w:r>
      <w:r>
        <w:rPr>
          <w:rFonts w:ascii="Times New Roman" w:hAnsi="Times New Roman"/>
          <w:b w:val="false"/>
          <w:i w:val="false"/>
          <w:color w:val="000000"/>
          <w:sz w:val="22"/>
        </w:rPr>
        <w:t xml:space="preserve">Uncontrollable residents shall be transferred or discharged from the facility in accordance with contract arrangements and requirements of Iowa Code chapter </w:t>
      </w:r>
      <w:hyperlink r:id="rId3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58.16(9)</w:t>
      </w:r>
      <w:r>
        <w:rPr>
          <w:rFonts w:ascii="Times New Roman" w:hAnsi="Times New Roman"/>
          <w:b w:val="false"/>
          <w:i w:val="false"/>
          <w:color w:val="000000"/>
          <w:sz w:val="22"/>
        </w:rPr>
        <w:t> </w:t>
      </w:r>
      <w:r>
        <w:rPr>
          <w:rFonts w:ascii="Times New Roman" w:hAnsi="Times New Roman"/>
          <w:b w:val="false"/>
          <w:i w:val="false"/>
          <w:color w:val="000000"/>
          <w:sz w:val="22"/>
        </w:rPr>
        <w:t>Except for those who request differently, residents who are not bedfast shall be fully dressed each day to maintain self-esteem and promote the residents’ normal lifestyles.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58.16(10)</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a bath of their choice, based on the facility’s accommodations, as needed to maintain proper hygiene. (II, III)</w:t>
      </w:r>
    </w:p>
    <w:p>
      <w:pPr>
        <w:spacing w:before="210" w:after="0"/>
        <w:ind w:left="120"/>
        <w:jc w:val="both"/>
      </w:pPr>
      <w:r>
        <w:rPr>
          <w:rFonts w:ascii="Times New Roman" w:hAnsi="Times New Roman"/>
          <w:b/>
          <w:i w:val="false"/>
          <w:color w:val="000000"/>
          <w:sz w:val="22"/>
        </w:rPr>
        <w:t>481—58.17</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i w:val="false"/>
          <w:color w:val="000000"/>
          <w:sz w:val="22"/>
        </w:rPr>
        <w:t>481—58.18</w:t>
      </w:r>
      <w:r>
        <w:rPr>
          <w:rFonts w:ascii="Times New Roman" w:hAnsi="Times New Roman"/>
          <w:b/>
          <w:i w:val="false"/>
          <w:color w:val="000000"/>
          <w:sz w:val="22"/>
        </w:rPr>
        <w:t xml:space="preserve">(135C) </w:t>
      </w:r>
      <w:r>
        <w:rPr>
          <w:rFonts w:ascii="Times New Roman" w:hAnsi="Times New Roman"/>
          <w:b/>
          <w:i w:val="false"/>
          <w:color w:val="000000"/>
          <w:sz w:val="22"/>
        </w:rPr>
        <w:t xml:space="preserve">Nursing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58.18(1)</w:t>
      </w:r>
      <w:r>
        <w:rPr>
          <w:rFonts w:ascii="Times New Roman" w:hAnsi="Times New Roman"/>
          <w:b w:val="false"/>
          <w:i w:val="false"/>
          <w:color w:val="000000"/>
          <w:sz w:val="22"/>
        </w:rPr>
        <w:t> </w:t>
      </w:r>
      <w:r>
        <w:rPr>
          <w:rFonts w:ascii="Times New Roman" w:hAnsi="Times New Roman"/>
          <w:b w:val="false"/>
          <w:i w:val="false"/>
          <w:color w:val="000000"/>
          <w:sz w:val="22"/>
        </w:rPr>
        <w:t>Individual health care plans shall be based on resident treatment decisions, the nature of the illness or disability, treatment, and care prescribed. Goals shall be developed by each discipline providing service, treatment, and care. These plans shall be in writing, revised as necessary, and kept current. They shall be made available to all those rendering the services and for review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58.18(2)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4/2/14</w:t>
      </w:r>
      <w:r>
        <w:rPr>
          <w:rFonts w:ascii="Times New Roman" w:hAnsi="Times New Roman"/>
          <w:b w:val="false"/>
          <w:i w:val="false"/>
          <w:color w:val="000000"/>
          <w:sz w:val="22"/>
        </w:rPr>
        <w:t>, effective 5/7/14.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58.18(3)</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resident and family education as an integral part of restorative and supportive care.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58.18(4)</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prompt response from qualified staff for the resident’s use of the nurse call system. (II, III) (Prompt response being considered as no longer than 15 minutes.)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481—58.19</w:t>
      </w:r>
      <w:r>
        <w:rPr>
          <w:rFonts w:ascii="Times New Roman" w:hAnsi="Times New Roman"/>
          <w:b/>
          <w:i w:val="false"/>
          <w:color w:val="000000"/>
          <w:sz w:val="22"/>
        </w:rPr>
        <w:t xml:space="preserve">(135C) </w:t>
      </w:r>
      <w:r>
        <w:rPr>
          <w:rFonts w:ascii="Times New Roman" w:hAnsi="Times New Roman"/>
          <w:b/>
          <w:i w:val="false"/>
          <w:color w:val="000000"/>
          <w:sz w:val="22"/>
        </w:rPr>
        <w:t xml:space="preserve">Required nursing services for residents. </w:t>
      </w:r>
      <w:r>
        <w:rPr>
          <w:rFonts w:ascii="Times New Roman" w:hAnsi="Times New Roman"/>
          <w:b w:val="false"/>
          <w:i w:val="false"/>
          <w:color w:val="000000"/>
          <w:sz w:val="22"/>
        </w:rPr>
        <w:t>The resident shall receive and the facility shall provide, as appropriate, the following required nursing services under the 24-hour direction of qualified nurses with ancillary coverage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58.19(1)</w:t>
      </w:r>
      <w:r>
        <w:rPr>
          <w:rFonts w:ascii="Times New Roman" w:hAnsi="Times New Roman"/>
          <w:b w:val="false"/>
          <w:i w:val="false"/>
          <w:color w:val="000000"/>
          <w:sz w:val="22"/>
        </w:rPr>
        <w:t> </w:t>
      </w:r>
      <w:r>
        <w:rPr>
          <w:rFonts w:ascii="Times New Roman" w:hAnsi="Times New Roman"/>
          <w:b w:val="false"/>
          <w:i/>
          <w:color w:val="000000"/>
          <w:sz w:val="22"/>
        </w:rPr>
        <w:t xml:space="preserve">Activities of daily living.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Bathing;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Daily oral hygiene (denture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Routine shampoo;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Nail care;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Shaving;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Daily care and application of prostheses (glasses, hearing aids, glass eyes, limb prosthetics, braces, or other assistive devices);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Ambulation with equipment if applicable, or transferring, or positioning;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Daily routine range of motion;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Mobility (assistance with wheelchair, mechanical lift, or other means of locomotion);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Elimination.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Assistance to and from the bathroom and perineal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Bedpan assistance;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Care for incontinent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Bowel and bladder training programs including in-dwelling catheter care (i.e., insertion and irrigation), enema and suppository administration, and monitoring and recording of intake and output, including solid waste;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Colostomy care (to be performed only by a registered nurse or licensed practical nurse or by a qualified aide under the direction of a registered nurse or licensed practical nurse);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Ileostomy care (to be performed only by a registered nurse or licensed practical nurse or by a qualified aide under the direction of a registered nurse or licensed practical nurse);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All linens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Nutrition and meal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Regular, therapeutic, modified diets, and snacks;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Mealtime preparation of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to and from meals;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In-room meal service or tray service;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food preparation and meal assistance including total assistance if needed;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adaptive devices;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Enteral nutrition (to be performed by a registered nurse or licensed practical nurse only);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Sufficient fluid intake to maintain proper hydration and health;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Promote initiation of self-care for elements of resident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Oral suctioning (to be performed only by a registered nurse or licensed practical nurse or by a qualified aide under the direction of a registered nurse or licensed practical nurse).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58.19(2)</w:t>
      </w:r>
      <w:r>
        <w:rPr>
          <w:rFonts w:ascii="Times New Roman" w:hAnsi="Times New Roman"/>
          <w:b w:val="false"/>
          <w:i w:val="false"/>
          <w:color w:val="000000"/>
          <w:sz w:val="22"/>
        </w:rPr>
        <w:t> </w:t>
      </w:r>
      <w:r>
        <w:rPr>
          <w:rFonts w:ascii="Times New Roman" w:hAnsi="Times New Roman"/>
          <w:b w:val="false"/>
          <w:i/>
          <w:color w:val="000000"/>
          <w:sz w:val="22"/>
        </w:rPr>
        <w:t xml:space="preserve">Medication and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Administration of all medications as ordered by the physician including oral, instillations, topical, injectable (to be injected by a registered nurse or licensed practical nurse only);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 of the appropriate care and treatment of wounds, including pressure sores, to promote healing, prevent infection, and prevent new sores from developing;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Blood glucose monitoring;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Vital signs, blood pressure, and weights;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Ambulation and transfer;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Provision of restraints;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Administration of oxygen (to be performed only by a registered nurse or licensed practical nurse or by a qualified aide under the direction of a registered nurse or licensed practical nurse);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Provision of all treatments;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Provision of emergency medical care, including arranging for transportation, in accordance with written policies and procedures of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Provision of accurate assessment and timely intervention for all residents who have an onset of adverse symptoms which represent a change in mental, emotional, or physical condition.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2560C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481—58.20</w:t>
      </w:r>
      <w:r>
        <w:rPr>
          <w:rFonts w:ascii="Times New Roman" w:hAnsi="Times New Roman"/>
          <w:b/>
          <w:i w:val="false"/>
          <w:color w:val="000000"/>
          <w:sz w:val="22"/>
        </w:rPr>
        <w:t xml:space="preserve">(135C) </w:t>
      </w:r>
      <w:r>
        <w:rPr>
          <w:rFonts w:ascii="Times New Roman" w:hAnsi="Times New Roman"/>
          <w:b/>
          <w:i w:val="false"/>
          <w:color w:val="000000"/>
          <w:sz w:val="22"/>
        </w:rPr>
        <w:t xml:space="preserve">Duties of health service supervisor. </w:t>
      </w:r>
      <w:r>
        <w:rPr>
          <w:rFonts w:ascii="Times New Roman" w:hAnsi="Times New Roman"/>
          <w:b w:val="false"/>
          <w:i w:val="false"/>
          <w:color w:val="000000"/>
          <w:sz w:val="22"/>
        </w:rPr>
        <w:t>Every nursing facility shall have a health service supervisor who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w:t>
      </w:r>
      <w:r>
        <w:rPr>
          <w:rFonts w:ascii="Times New Roman" w:hAnsi="Times New Roman"/>
          <w:b w:val="false"/>
          <w:i w:val="false"/>
          <w:color w:val="000000"/>
          <w:sz w:val="22"/>
        </w:rPr>
        <w:t> </w:t>
      </w:r>
      <w:r>
        <w:rPr>
          <w:rFonts w:ascii="Times New Roman" w:hAnsi="Times New Roman"/>
          <w:b w:val="false"/>
          <w:i w:val="false"/>
          <w:color w:val="000000"/>
          <w:sz w:val="22"/>
        </w:rPr>
        <w:t>Direct the implementation of the physician’s orders;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58.20(2)</w:t>
      </w:r>
      <w:r>
        <w:rPr>
          <w:rFonts w:ascii="Times New Roman" w:hAnsi="Times New Roman"/>
          <w:b w:val="false"/>
          <w:i w:val="false"/>
          <w:color w:val="000000"/>
          <w:sz w:val="22"/>
        </w:rPr>
        <w:t> </w:t>
      </w:r>
      <w:r>
        <w:rPr>
          <w:rFonts w:ascii="Times New Roman" w:hAnsi="Times New Roman"/>
          <w:b w:val="false"/>
          <w:i w:val="false"/>
          <w:color w:val="000000"/>
          <w:sz w:val="22"/>
        </w:rPr>
        <w:t>Plan for and direct the nursing care, services, treatments, procedures, and other services in order that each resident’s needs and choices, where practicable, are met;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58.20(3)</w:t>
      </w:r>
      <w:r>
        <w:rPr>
          <w:rFonts w:ascii="Times New Roman" w:hAnsi="Times New Roman"/>
          <w:b w:val="false"/>
          <w:i w:val="false"/>
          <w:color w:val="000000"/>
          <w:sz w:val="22"/>
        </w:rPr>
        <w:t> </w:t>
      </w:r>
      <w:r>
        <w:rPr>
          <w:rFonts w:ascii="Times New Roman" w:hAnsi="Times New Roman"/>
          <w:b w:val="false"/>
          <w:i w:val="false"/>
          <w:color w:val="000000"/>
          <w:sz w:val="22"/>
        </w:rPr>
        <w:t>Review the health care needs and choices, where practicable, of each resident admitted to the facility and assist the attending physician in planning for the resident’s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58.20(4)</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written health care plan in cooperation with, to the extent practicable, the resident, the resident’s family or the resident’s legal representative, and others in accordance with instructions of the attending physician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health care plan, based on the assessment and reassessment of the resident’s health needs and choices, where practicable, is personalized for the individual resident and indicates care to be given, goals to be accomplished, and methods, approaches, and modifications necessary to achieve best results;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service supervisor is responsible for preparing, reviewing, supervising the implementation, and revising the written health care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care plan is readily available for use by all personnel caring for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58.20(5)</w:t>
      </w:r>
      <w:r>
        <w:rPr>
          <w:rFonts w:ascii="Times New Roman" w:hAnsi="Times New Roman"/>
          <w:b w:val="false"/>
          <w:i w:val="false"/>
          <w:color w:val="000000"/>
          <w:sz w:val="22"/>
        </w:rPr>
        <w:t> </w:t>
      </w:r>
      <w:r>
        <w:rPr>
          <w:rFonts w:ascii="Times New Roman" w:hAnsi="Times New Roman"/>
          <w:b w:val="false"/>
          <w:i w:val="false"/>
          <w:color w:val="000000"/>
          <w:sz w:val="22"/>
        </w:rPr>
        <w:t>Initiate preventative and restorative nursing procedures for each resident so as to achieve and maintain the highest possible degree of function, self-care, and independence based on resident choice, where practicable;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58.20(6)</w:t>
      </w:r>
      <w:r>
        <w:rPr>
          <w:rFonts w:ascii="Times New Roman" w:hAnsi="Times New Roman"/>
          <w:b w:val="false"/>
          <w:i w:val="false"/>
          <w:color w:val="000000"/>
          <w:sz w:val="22"/>
        </w:rPr>
        <w:t> </w:t>
      </w:r>
      <w:r>
        <w:rPr>
          <w:rFonts w:ascii="Times New Roman" w:hAnsi="Times New Roman"/>
          <w:b w:val="false"/>
          <w:i w:val="false"/>
          <w:color w:val="000000"/>
          <w:sz w:val="22"/>
        </w:rPr>
        <w:t>Supervise health services personnel to ensure they perform the following restorative measures in their daily care of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Maintaining good bodily alignment and proper positioning;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Making every effort to keep the resident active except when contraindicated by physician’s orders, and encouraging residents to achieve independence in activities of daily living by teaching self-care, transfer, and ambulation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Assisting residents to adjust to their disabilities, to use their prosthetic devices, and to redirect their interests as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Assisting residents to carry out prescribed therapy exercises between visits of the therapist;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Assisting residents with routine range of motion exercises;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58.20(7)</w:t>
      </w:r>
      <w:r>
        <w:rPr>
          <w:rFonts w:ascii="Times New Roman" w:hAnsi="Times New Roman"/>
          <w:b w:val="false"/>
          <w:i w:val="false"/>
          <w:color w:val="000000"/>
          <w:sz w:val="22"/>
        </w:rPr>
        <w:t> </w:t>
      </w:r>
      <w:r>
        <w:rPr>
          <w:rFonts w:ascii="Times New Roman" w:hAnsi="Times New Roman"/>
          <w:b w:val="false"/>
          <w:i w:val="false"/>
          <w:color w:val="000000"/>
          <w:sz w:val="22"/>
        </w:rPr>
        <w:t>Plan and conduct nursing staff orientation and in-service programs and provide for training of nurse’s aides;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58.20(8)</w:t>
      </w:r>
      <w:r>
        <w:rPr>
          <w:rFonts w:ascii="Times New Roman" w:hAnsi="Times New Roman"/>
          <w:b w:val="false"/>
          <w:i w:val="false"/>
          <w:color w:val="000000"/>
          <w:sz w:val="22"/>
        </w:rPr>
        <w:t> </w:t>
      </w:r>
      <w:r>
        <w:rPr>
          <w:rFonts w:ascii="Times New Roman" w:hAnsi="Times New Roman"/>
          <w:b w:val="false"/>
          <w:i w:val="false"/>
          <w:color w:val="000000"/>
          <w:sz w:val="22"/>
        </w:rPr>
        <w:t>Plan with the resident and the resident’s physician and family and health-related agencies for the care of the resident upon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58.20(9)</w:t>
      </w:r>
      <w:r>
        <w:rPr>
          <w:rFonts w:ascii="Times New Roman" w:hAnsi="Times New Roman"/>
          <w:b w:val="false"/>
          <w:i w:val="false"/>
          <w:color w:val="000000"/>
          <w:sz w:val="22"/>
        </w:rPr>
        <w:t> </w:t>
      </w:r>
      <w:r>
        <w:rPr>
          <w:rFonts w:ascii="Times New Roman" w:hAnsi="Times New Roman"/>
          <w:b w:val="false"/>
          <w:i w:val="false"/>
          <w:color w:val="000000"/>
          <w:sz w:val="22"/>
        </w:rPr>
        <w:t>Designate a responsible person to be in charge during absences;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58.20(10)</w:t>
      </w:r>
      <w:r>
        <w:rPr>
          <w:rFonts w:ascii="Times New Roman" w:hAnsi="Times New Roman"/>
          <w:b w:val="false"/>
          <w:i w:val="false"/>
          <w:color w:val="000000"/>
          <w:sz w:val="22"/>
        </w:rPr>
        <w:t> </w:t>
      </w:r>
      <w:r>
        <w:rPr>
          <w:rFonts w:ascii="Times New Roman" w:hAnsi="Times New Roman"/>
          <w:b w:val="false"/>
          <w:i w:val="false"/>
          <w:color w:val="000000"/>
          <w:sz w:val="22"/>
        </w:rPr>
        <w:t>Be responsible for all assignments and work schedules for all health services personnel to ensure that the health needs of the residents are met;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58.20(11)</w:t>
      </w:r>
      <w:r>
        <w:rPr>
          <w:rFonts w:ascii="Times New Roman" w:hAnsi="Times New Roman"/>
          <w:b w:val="false"/>
          <w:i w:val="false"/>
          <w:color w:val="000000"/>
          <w:sz w:val="22"/>
        </w:rPr>
        <w:t> </w:t>
      </w:r>
      <w:r>
        <w:rPr>
          <w:rFonts w:ascii="Times New Roman" w:hAnsi="Times New Roman"/>
          <w:b w:val="false"/>
          <w:i w:val="false"/>
          <w:color w:val="000000"/>
          <w:sz w:val="22"/>
        </w:rPr>
        <w:t>Ensure that all nurse’s notes are descriptive of the care rendered including the resident’s response;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58.20(12)</w:t>
      </w:r>
      <w:r>
        <w:rPr>
          <w:rFonts w:ascii="Times New Roman" w:hAnsi="Times New Roman"/>
          <w:b w:val="false"/>
          <w:i w:val="false"/>
          <w:color w:val="000000"/>
          <w:sz w:val="22"/>
        </w:rPr>
        <w:t> </w:t>
      </w:r>
      <w:r>
        <w:rPr>
          <w:rFonts w:ascii="Times New Roman" w:hAnsi="Times New Roman"/>
          <w:b w:val="false"/>
          <w:i w:val="false"/>
          <w:color w:val="000000"/>
          <w:sz w:val="22"/>
        </w:rPr>
        <w:t>Visit each resident routinely to be knowledgeable of the resident’s current condition;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58.20(13)</w:t>
      </w:r>
      <w:r>
        <w:rPr>
          <w:rFonts w:ascii="Times New Roman" w:hAnsi="Times New Roman"/>
          <w:b w:val="false"/>
          <w:i w:val="false"/>
          <w:color w:val="000000"/>
          <w:sz w:val="22"/>
        </w:rPr>
        <w:t> </w:t>
      </w:r>
      <w:r>
        <w:rPr>
          <w:rFonts w:ascii="Times New Roman" w:hAnsi="Times New Roman"/>
          <w:b w:val="false"/>
          <w:i w:val="false"/>
          <w:color w:val="000000"/>
          <w:sz w:val="22"/>
        </w:rPr>
        <w:t>Evaluate in writing the performance of each individual on the health care staff on at least an annual basis. This evaluation shall be available for review in the facility to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58.20(14)</w:t>
      </w:r>
      <w:r>
        <w:rPr>
          <w:rFonts w:ascii="Times New Roman" w:hAnsi="Times New Roman"/>
          <w:b w:val="false"/>
          <w:i w:val="false"/>
          <w:color w:val="000000"/>
          <w:sz w:val="22"/>
        </w:rPr>
        <w:t> </w:t>
      </w:r>
      <w:r>
        <w:rPr>
          <w:rFonts w:ascii="Times New Roman" w:hAnsi="Times New Roman"/>
          <w:b w:val="false"/>
          <w:i w:val="false"/>
          <w:color w:val="000000"/>
          <w:sz w:val="22"/>
        </w:rPr>
        <w:t>Keep the administrator informed of the resident’s status;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58.20(15)</w:t>
      </w:r>
      <w:r>
        <w:rPr>
          <w:rFonts w:ascii="Times New Roman" w:hAnsi="Times New Roman"/>
          <w:b w:val="false"/>
          <w:i w:val="false"/>
          <w:color w:val="000000"/>
          <w:sz w:val="22"/>
        </w:rPr>
        <w:t> </w:t>
      </w:r>
      <w:r>
        <w:rPr>
          <w:rFonts w:ascii="Times New Roman" w:hAnsi="Times New Roman"/>
          <w:b w:val="false"/>
          <w:i w:val="false"/>
          <w:color w:val="000000"/>
          <w:sz w:val="22"/>
        </w:rPr>
        <w:t>Teach and coordinate rehabilitative health care including activities of daily living, promotion and maintenance of optimal physical and mental functioning;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58.20(16)</w:t>
      </w:r>
      <w:r>
        <w:rPr>
          <w:rFonts w:ascii="Times New Roman" w:hAnsi="Times New Roman"/>
          <w:b w:val="false"/>
          <w:i w:val="false"/>
          <w:color w:val="000000"/>
          <w:sz w:val="22"/>
        </w:rPr>
        <w:t> </w:t>
      </w:r>
      <w:r>
        <w:rPr>
          <w:rFonts w:ascii="Times New Roman" w:hAnsi="Times New Roman"/>
          <w:b w:val="false"/>
          <w:i w:val="false"/>
          <w:color w:val="000000"/>
          <w:sz w:val="22"/>
        </w:rPr>
        <w:t>Supervise serving of meals to ensure that individuals unable to assist themselves are promptly fed and that special eating adaptive devices are available as needed;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58.20(17)</w:t>
      </w:r>
      <w:r>
        <w:rPr>
          <w:rFonts w:ascii="Times New Roman" w:hAnsi="Times New Roman"/>
          <w:b w:val="false"/>
          <w:i w:val="false"/>
          <w:color w:val="000000"/>
          <w:sz w:val="22"/>
        </w:rPr>
        <w:t> </w:t>
      </w:r>
      <w:r>
        <w:rPr>
          <w:rFonts w:ascii="Times New Roman" w:hAnsi="Times New Roman"/>
          <w:b w:val="false"/>
          <w:i w:val="false"/>
          <w:color w:val="000000"/>
          <w:sz w:val="22"/>
        </w:rPr>
        <w:t>Make available a nursing procedure manual which shall include all procedures practiced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58.20(18)</w:t>
      </w:r>
      <w:r>
        <w:rPr>
          <w:rFonts w:ascii="Times New Roman" w:hAnsi="Times New Roman"/>
          <w:b w:val="false"/>
          <w:i w:val="false"/>
          <w:color w:val="000000"/>
          <w:sz w:val="22"/>
        </w:rPr>
        <w:t> </w:t>
      </w:r>
      <w:r>
        <w:rPr>
          <w:rFonts w:ascii="Times New Roman" w:hAnsi="Times New Roman"/>
          <w:b w:val="false"/>
          <w:i w:val="false"/>
          <w:color w:val="000000"/>
          <w:sz w:val="22"/>
        </w:rPr>
        <w:t>Participate with the administrator in the formulation of written policies and procedures for resident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58.20(19)</w:t>
      </w:r>
      <w:r>
        <w:rPr>
          <w:rFonts w:ascii="Times New Roman" w:hAnsi="Times New Roman"/>
          <w:b w:val="false"/>
          <w:i w:val="false"/>
          <w:color w:val="000000"/>
          <w:sz w:val="22"/>
        </w:rPr>
        <w:t> </w:t>
      </w:r>
      <w:r>
        <w:rPr>
          <w:rFonts w:ascii="Times New Roman" w:hAnsi="Times New Roman"/>
          <w:b w:val="false"/>
          <w:i w:val="false"/>
          <w:color w:val="000000"/>
          <w:sz w:val="22"/>
        </w:rPr>
        <w:t>The person in charge shall immediately notify the family of any accident, injury, or adverse change in the resident’s condition requiring physician’s notification. (III)</w:t>
      </w:r>
    </w:p>
    <w:p>
      <w:pPr>
        <w:spacing w:before="0" w:after="0"/>
        <w:ind w:left="120"/>
        <w:jc w:val="both"/>
      </w:pPr>
      <w:r>
        <w:rPr>
          <w:rFonts w:ascii="Times New Roman" w:hAnsi="Times New Roman"/>
          <w:b/>
          <w:i w:val="false"/>
          <w:color w:val="000000"/>
          <w:sz w:val="22"/>
        </w:rPr>
        <w:t>481—58.21</w:t>
      </w:r>
      <w:r>
        <w:rPr>
          <w:rFonts w:ascii="Times New Roman" w:hAnsi="Times New Roman"/>
          <w:b/>
          <w:i w:val="false"/>
          <w:color w:val="000000"/>
          <w:sz w:val="22"/>
        </w:rPr>
        <w:t xml:space="preserve">(135C) </w:t>
      </w:r>
      <w:r>
        <w:rPr>
          <w:rFonts w:ascii="Times New Roman" w:hAnsi="Times New Roman"/>
          <w:b/>
          <w:i w:val="false"/>
          <w:color w:val="000000"/>
          <w:sz w:val="22"/>
        </w:rPr>
        <w:t xml:space="preserve">Drugs, storage, and handling.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w:t>
      </w:r>
      <w:r>
        <w:rPr>
          <w:rFonts w:ascii="Times New Roman" w:hAnsi="Times New Roman"/>
          <w:b w:val="false"/>
          <w:i w:val="false"/>
          <w:color w:val="000000"/>
          <w:sz w:val="22"/>
        </w:rPr>
        <w:t> </w:t>
      </w:r>
      <w:r>
        <w:rPr>
          <w:rFonts w:ascii="Times New Roman" w:hAnsi="Times New Roman"/>
          <w:b w:val="false"/>
          <w:i w:val="false"/>
          <w:color w:val="000000"/>
          <w:sz w:val="22"/>
        </w:rPr>
        <w:t>Drug storage for residents who are unable to take their own medications and require supervision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cabinet with a lock, convenient to nursing service, shall be provided and used for storage of all drugs, solutions, and prescriptions;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drug storage cabinet shall be kept locked when not in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medication cabinet key shall be in the possession of the person directly responsible for issuing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Double-locked storage of Schedule II drugs shall not be required under single unit package drug distribution systems in which the quantity stored does not exceed a three-day supply and a missing dose can be readily detected.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58.21(2)</w:t>
      </w:r>
      <w:r>
        <w:rPr>
          <w:rFonts w:ascii="Times New Roman" w:hAnsi="Times New Roman"/>
          <w:b w:val="false"/>
          <w:i w:val="false"/>
          <w:color w:val="000000"/>
          <w:sz w:val="22"/>
        </w:rPr>
        <w:t> </w:t>
      </w:r>
      <w:r>
        <w:rPr>
          <w:rFonts w:ascii="Times New Roman" w:hAnsi="Times New Roman"/>
          <w:b w:val="false"/>
          <w:i w:val="false"/>
          <w:color w:val="000000"/>
          <w:sz w:val="22"/>
        </w:rPr>
        <w:t>Drugs for external use shall be stored separately from drugs for internal use.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58.21(3)</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shall be kept in a refrigerator and separated from food and other items. A method for locking these medications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58.21(4)</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separately from drugs. They shall be plainly labeled and stored in a specific, well-illuminated cabinet, closet, or storeroom and made accessible only to authorized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58.21(5)</w:t>
      </w:r>
      <w:r>
        <w:rPr>
          <w:rFonts w:ascii="Times New Roman" w:hAnsi="Times New Roman"/>
          <w:b w:val="false"/>
          <w:i w:val="false"/>
          <w:color w:val="000000"/>
          <w:sz w:val="22"/>
        </w:rPr>
        <w:t> </w:t>
      </w:r>
      <w:r>
        <w:rPr>
          <w:rFonts w:ascii="Times New Roman" w:hAnsi="Times New Roman"/>
          <w:b w:val="false"/>
          <w:i w:val="false"/>
          <w:color w:val="000000"/>
          <w:sz w:val="22"/>
        </w:rPr>
        <w:t>All flammable materials shall be specially stored and handled in accordance with applicable local and state fire regulations.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58.21(6)</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nonparenteral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knowledge of the purpose of the drugs, their dangers, and contraindications.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person shall be a licensed nurse or physician or shall have successfully completed a department-approved medication aide course or passed a department-approved medication aide challenge examination administered by an area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taking a department-approved medication aide course, the individual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an approved nurse aide course, nurse aide training and testing program or nurse aide competency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employed in the same facility and work at least 480 hours prior to the start of the medication aide course.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letter of recommendation for admission to the medication aide course from the employing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may take the challenge examination in place of taking a medication aide course. This individual shall do all of the following before taking the medication aide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the individual is competent in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department-approved nurse aide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has written documentation of certification as a medication aide in another state may become a medication aide in Iowa by successfully completing a department-approved nurse aide competency examination and a medication aide challenge examination.</w:t>
      </w:r>
    </w:p>
    <w:p>
      <w:pPr>
        <w:spacing w:before="0" w:after="0"/>
        <w:ind w:left="120"/>
        <w:jc w:val="both"/>
      </w:pPr>
      <w:r>
        <w:rPr>
          <w:rFonts w:ascii="Times New Roman" w:hAnsi="Times New Roman"/>
          <w:b w:val="false"/>
          <w:i w:val="false"/>
          <w:color w:val="000000"/>
          <w:sz w:val="22"/>
        </w:rPr>
        <w:t xml:space="preserve">The requirements of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do not apply to this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58.21(7)</w:t>
      </w:r>
      <w:r>
        <w:rPr>
          <w:rFonts w:ascii="Times New Roman" w:hAnsi="Times New Roman"/>
          <w:b w:val="false"/>
          <w:i w:val="false"/>
          <w:color w:val="000000"/>
          <w:sz w:val="22"/>
        </w:rPr>
        <w:t> </w:t>
      </w:r>
      <w:r>
        <w:rPr>
          <w:rFonts w:ascii="Times New Roman" w:hAnsi="Times New Roman"/>
          <w:b w:val="false"/>
          <w:i w:val="false"/>
          <w:color w:val="000000"/>
          <w:sz w:val="22"/>
        </w:rPr>
        <w:t>Unless the unit dose system is used, the person assigned the responsibility of medication administration must complete the procedure by personally preparing the dose, observing the actual act of swallowing the oral medication, and charting the medication. (II) In facilities where the unit dose system is used, the person assigned the responsibility must complete the procedure by observing the actual act of swallowing the medication and charting the medication. Medications shall be prepared on the same shift of the same day that they are administered, (II) unless the unit dose system is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58.21(8)</w:t>
      </w:r>
      <w:r>
        <w:rPr>
          <w:rFonts w:ascii="Times New Roman" w:hAnsi="Times New Roman"/>
          <w:b w:val="false"/>
          <w:i w:val="false"/>
          <w:color w:val="000000"/>
          <w:sz w:val="22"/>
        </w:rPr>
        <w:t> </w:t>
      </w:r>
      <w:r>
        <w:rPr>
          <w:rFonts w:ascii="Times New Roman" w:hAnsi="Times New Roman"/>
          <w:b w:val="false"/>
          <w:i w:val="false"/>
          <w:color w:val="000000"/>
          <w:sz w:val="22"/>
        </w:rPr>
        <w:t>An accurate written record of medications administered shall be made by the individual administering the medication.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58.21(9)</w:t>
      </w:r>
      <w:r>
        <w:rPr>
          <w:rFonts w:ascii="Times New Roman" w:hAnsi="Times New Roman"/>
          <w:b w:val="false"/>
          <w:i w:val="false"/>
          <w:color w:val="000000"/>
          <w:sz w:val="22"/>
        </w:rPr>
        <w:t> </w:t>
      </w:r>
      <w:r>
        <w:rPr>
          <w:rFonts w:ascii="Times New Roman" w:hAnsi="Times New Roman"/>
          <w:b w:val="false"/>
          <w:i w:val="false"/>
          <w:color w:val="000000"/>
          <w:sz w:val="22"/>
        </w:rPr>
        <w:t>Records shall be kept of all medications received and dispensed in accordance with 42 CFR 483.45(b)(2) and federal interpretive guidelines.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58.21(10)</w:t>
      </w:r>
      <w:r>
        <w:rPr>
          <w:rFonts w:ascii="Times New Roman" w:hAnsi="Times New Roman"/>
          <w:b w:val="false"/>
          <w:i w:val="false"/>
          <w:color w:val="000000"/>
          <w:sz w:val="22"/>
        </w:rPr>
        <w:t> </w:t>
      </w:r>
      <w:r>
        <w:rPr>
          <w:rFonts w:ascii="Times New Roman" w:hAnsi="Times New Roman"/>
          <w:b w:val="false"/>
          <w:i w:val="false"/>
          <w:color w:val="000000"/>
          <w:sz w:val="22"/>
        </w:rPr>
        <w:t>Any unusual resident reaction shall be reported to the physician at once.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58.21(11)</w:t>
      </w:r>
      <w:r>
        <w:rPr>
          <w:rFonts w:ascii="Times New Roman" w:hAnsi="Times New Roman"/>
          <w:b w:val="false"/>
          <w:i w:val="false"/>
          <w:color w:val="000000"/>
          <w:sz w:val="22"/>
        </w:rPr>
        <w:t> </w:t>
      </w:r>
      <w:r>
        <w:rPr>
          <w:rFonts w:ascii="Times New Roman" w:hAnsi="Times New Roman"/>
          <w:b w:val="false"/>
          <w:i w:val="false"/>
          <w:color w:val="000000"/>
          <w:sz w:val="22"/>
        </w:rPr>
        <w:t>A policy shall be established by the facility in conjunction with a licensed pharmacist to govern the distribution of prescribed medications to residents who are on leave from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may be issued to residents who will be on leave from a facility for less than 24 hours. Notwithstanding the prohibition against paper envelopes in </w:t>
      </w:r>
      <w:hyperlink r:id="rId33">
        <w:r>
          <w:rPr>
            <w:rStyle w:val="Hyperlink"/>
            <w:rFonts w:ascii="Times New Roman" w:hAnsi="Times New Roman"/>
            <w:b w:val="false"/>
            <w:i w:val="false"/>
            <w:color w:val="000000"/>
            <w:sz w:val="22"/>
          </w:rPr>
          <w:t>58.21(14)</w:t>
        </w:r>
        <w:r>
          <w:rPr>
            <w:rFonts w:ascii="Times New Roman" w:hAnsi="Times New Roman"/>
            <w:b w:val="false"/>
            <w:i/>
            <w:color w:val="000000"/>
            <w:sz w:val="22"/>
          </w:rPr>
          <w:t>“a,”</w:t>
        </w:r>
      </w:hyperlink>
      <w:r>
        <w:rPr>
          <w:rFonts w:ascii="Times New Roman" w:hAnsi="Times New Roman"/>
          <w:b w:val="false"/>
          <w:i w:val="false"/>
          <w:color w:val="000000"/>
          <w:sz w:val="22"/>
        </w:rPr>
        <w:t xml:space="preserve"> non-child-resistant containers may be used. Each container may hold only one medication. A label on each container shall indicate the date, the resident’s name, the facility, the medication, its strength, dose, and time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longer than 24 hours shall be obtained in accordance with requirements established by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 distributed as above may be issued only by a nurse responsible for administering medication.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58.21(12)</w:t>
      </w:r>
      <w:r>
        <w:rPr>
          <w:rFonts w:ascii="Times New Roman" w:hAnsi="Times New Roman"/>
          <w:b w:val="false"/>
          <w:i w:val="false"/>
          <w:color w:val="000000"/>
          <w:sz w:val="22"/>
        </w:rPr>
        <w:t> </w:t>
      </w:r>
      <w:r>
        <w:rPr>
          <w:rFonts w:ascii="Times New Roman" w:hAnsi="Times New Roman"/>
          <w:b w:val="false"/>
          <w:i w:val="false"/>
          <w:color w:val="000000"/>
          <w:sz w:val="22"/>
        </w:rPr>
        <w:t>Emergency medications. A nursing facility shall provide emergency medications pursuant to the following requirements: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Prescription drugs as well as nonprescription items must be prescribed or approved by the physician, in consultation with the pharmacist, who provides emergency service to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emergency medications shall be stored in an accessible place;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 of the emergency medications and quantities of each item shall be maintained by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container holding the emergency medications shall be closed with a seal which may be broken when drugs are required in an emergency or for inspection;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item removed from the emergency medications shall be replaced within 48 hours;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permanent record shall be kept of each time the emergency medications are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emergency medications shall be inspected by a pharmacist at least once every three months to determine the stability of items.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58.21(13)</w:t>
      </w:r>
      <w:r>
        <w:rPr>
          <w:rFonts w:ascii="Times New Roman" w:hAnsi="Times New Roman"/>
          <w:b w:val="false"/>
          <w:i w:val="false"/>
          <w:color w:val="000000"/>
          <w:sz w:val="22"/>
        </w:rPr>
        <w:t> </w:t>
      </w:r>
      <w:r>
        <w:rPr>
          <w:rFonts w:ascii="Times New Roman" w:hAnsi="Times New Roman"/>
          <w:b w:val="false"/>
          <w:i w:val="false"/>
          <w:color w:val="000000"/>
          <w:sz w:val="22"/>
        </w:rPr>
        <w:t>Drug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Bulk supplies of prescription drugs shall not be kept in a nursing facility unless a licensed pharmacy is established in the facility under the direct supervision and control of a pharmacist or the prescription drugs are stored in an automated medication distribution system (AMDS) in compliance with standards established by the Iowa board of pharmacy.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Inspection of drug storage condition shall be made by the health service supervisor and a registered pharmacist not less than once every three months. The inspection shall be verified by a report signed by the nurse and pharmacist and filed with the administrator. The report shall include, but not be limited to, certifying absence of the following: expired drugs, deteriorated drugs, improper labeling, drugs for which there is no current physician’s order, and drugs improperly stored.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facility permits licensed nurses to dilute or reconstitute drugs at the nursing station, distinctive supplementary labels shall be available for the purpose. The notation on the label shall be so made as to be indelible.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Dilution and reconstitution of drugs and their labeling shall be done by the pharmacist whenever possible. If not possible, the following shall be carried out only by the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Specific directions for dilution or reconstitution and expiration date should accompany the drug;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distinctive supplementary label shall be affixed to the drug container when diluted or reconstituted by the nurse for other than immediate use. (III) The label shall bear the following: resident’s name, dosage and strength per unit/volume, nurse’s name, expiration date, and date and time of dilution.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58.21(14)</w:t>
      </w:r>
      <w:r>
        <w:rPr>
          <w:rFonts w:ascii="Times New Roman" w:hAnsi="Times New Roman"/>
          <w:b w:val="false"/>
          <w:i w:val="false"/>
          <w:color w:val="000000"/>
          <w:sz w:val="22"/>
        </w:rPr>
        <w:t> </w:t>
      </w:r>
      <w:r>
        <w:rPr>
          <w:rFonts w:ascii="Times New Roman" w:hAnsi="Times New Roman"/>
          <w:b w:val="false"/>
          <w:i w:val="false"/>
          <w:color w:val="000000"/>
          <w:sz w:val="22"/>
        </w:rPr>
        <w:t>Drug safeguards.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prescribed medications shall be clearly labeled indicating the resident’s full name, physician’s name, prescription number, name and strength of drug, dosage, directions for use, date of issue, and name and address and telephone number of pharmacy or physician issuing the drug. Where unit dose is used, prescribed medications shall, as a minimum, indicate the resident’s full name, physician’s name, name and strength of drug, and directions for use. Standard containers shall be utilized for dispensing drugs. Paper envelopes shall not be considered standard containers. Prescription medications distributed from an AMDS shall follow any labeling standards established by the Iowa board of pharmacy.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containers having soiled, damaged, illegible or makeshift labels, or medication samples shall be returned to the issuing pharmacist, pharmacy, or physician for relabeling or disposal.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no medications or any solution in unlabeled containers.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medications of each resident shall be kept or stored in the originally received containers.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Labels on containers shall be clearly legible and firmly affixed. No label shall be superimposed on another label of a drug container.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resident is discharged or leaves the facility, the unused prescription shall be sent with the resident or with a legal representative only upon the written order of a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Unused prescription drugs prescribed for residents who are deceased shall be returned to the supplying pharmacist.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Prescriptions shall be refilled only with the permission of the attending physician.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medications prescribed for one resident may be administered to or allowed in the possession of another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Instructions shall be requested of the Iowa board of pharmacy concerning disposal of unused Schedule II drugs prescribed for residents who have died or for whom the Schedule II drug was discontinued.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There shall be a formal routine for the proper disposal of discontinued medications within a reasonable but specified time. These medications shall not be retained with the resident’s current medications. Discontinued drugs shall be destroyed by the responsible nurse with a witness and a notation made to that effect or returned to the pharmacist for destruction or resident credit. Drugs listed under the Schedule II drugs shall be disposed of in accordance with the provisions of the Iowa board of pharmacy.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All medication orders which do not specifically indicate the number of doses to be administered or the length of time the drug is to be administered shall be stopped automatically after a given time period. The automatic stop order may vary for different types of drugs. The physician, in consultation with the pharmacist serving the home, shall institute policies and provide procedures for review and endorsement of stop orders on drugs. This policy shall be conveniently located for personnel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No resident shall be allowed to keep possession of any medications unless the attending physician has certified in writing on the resident’s medical record that the resident is mentally and physically capable of doing so.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Residents who have been certified in writing by the physician as capable of taking their own medications may retain these medications in their bedroom, but locked storage must be provided.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No medications or prescription drugs shall be administered to a resident without a written order signed by the attending physician.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qualified nurse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 medication schedule system which identifies the time and dosage of each medication prescribed for each resident, is based on the resident’s desired routine, and is approved by the resident’s physician.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 medication record containing the information specified above needed to monitor each resident’s drug regimen.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Telephone orders shall be taken by a qualified nurse. Orders shall be written into the resident’s record and signed by the person receiving the order. Telephone orders shall be submitted to the physician for signature within 48 hours.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 pharmacy operating in connection with a nursing facility shall comply with the provisions of the pharmacy law requiring registration of pharmacies and the regulations of the Iowa board of pharmacy.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a nursing facility with a pharmacy or drug supply, service shall be under the personal supervision of a pharmacist licensed to practice in the state of Iowa.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58.21(15)</w:t>
      </w:r>
      <w:r>
        <w:rPr>
          <w:rFonts w:ascii="Times New Roman" w:hAnsi="Times New Roman"/>
          <w:b w:val="false"/>
          <w:i w:val="false"/>
          <w:color w:val="000000"/>
          <w:sz w:val="22"/>
        </w:rPr>
        <w:t> </w:t>
      </w:r>
      <w:r>
        <w:rPr>
          <w:rFonts w:ascii="Times New Roman" w:hAnsi="Times New Roman"/>
          <w:b w:val="false"/>
          <w:i w:val="false"/>
          <w:color w:val="000000"/>
          <w:sz w:val="22"/>
        </w:rPr>
        <w:t>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Injectable medications shall be administered as permitted by Iowa law by a qualified nurse, physician, pharmacist, or physician assistant (PA). In the case of a resident who has been certified by the resident’s physician or physician assistant (PA) as capable of taking the resident’s own insulin, the resident may inject the resident’s own insulin.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inventory record shall be maintained for each Schedule II drug prescribed for each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service supervisor shall be responsible for the supervision and direction of all personnel administering medications.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1050C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481—58.22</w:t>
      </w:r>
      <w:r>
        <w:rPr>
          <w:rFonts w:ascii="Times New Roman" w:hAnsi="Times New Roman"/>
          <w:b/>
          <w:i w:val="false"/>
          <w:color w:val="000000"/>
          <w:sz w:val="22"/>
        </w:rPr>
        <w:t xml:space="preserve">(135C) </w:t>
      </w:r>
      <w:r>
        <w:rPr>
          <w:rFonts w:ascii="Times New Roman" w:hAnsi="Times New Roman"/>
          <w:b/>
          <w:i w:val="false"/>
          <w:color w:val="000000"/>
          <w:sz w:val="22"/>
        </w:rPr>
        <w:t xml:space="preserve">Rehabilitative services. </w:t>
      </w:r>
      <w:r>
        <w:rPr>
          <w:rFonts w:ascii="Times New Roman" w:hAnsi="Times New Roman"/>
          <w:b w:val="false"/>
          <w:i w:val="false"/>
          <w:color w:val="000000"/>
          <w:sz w:val="22"/>
        </w:rPr>
        <w:t>Rehabilitative services shall be provided to maintain function or improve the resident’s ability to carry out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58.22(1)</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have a written agreement with a licensed physical therapist to provide physical therapy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therapy shall be rendered only by a physical therapist licensed to practice in the state of Iowa. All personnel assisting with the physical therapy of residents must be under the direction of a licensed physical therapist.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licensed physical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Evaluate the resident and prepare a physical therapy treatment plan conforming to the medical orders and goals;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 with other personnel in the facility who are providing resident care and plan with them for the integration of a physical therapy treatment program into the overall health care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Instruct the nursing personnel responsible for administering selected restorative procedures between treatments;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 programs in the facility’s in-service education programs.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Treatment records in the resident’s medical chart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prescription for treatment;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initial evaluation note by the physical therapist;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physical therapy care plan defining clearly the long-term and short-term goals and outlining the current treatment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Notes of the treatments given and changes in the resident’s condition;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complete discharge summary to include recommendations for nursing staff and family.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adequate facilities, space, appropriate equipment, and storage areas as are essential to the treatment or examinations of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58.22(2)</w:t>
      </w:r>
      <w:r>
        <w:rPr>
          <w:rFonts w:ascii="Times New Roman" w:hAnsi="Times New Roman"/>
          <w:b w:val="false"/>
          <w:i w:val="false"/>
          <w:color w:val="000000"/>
          <w:sz w:val="22"/>
        </w:rPr>
        <w:t> </w:t>
      </w:r>
      <w:r>
        <w:rPr>
          <w:rFonts w:ascii="Times New Roman" w:hAnsi="Times New Roman"/>
          <w:b w:val="false"/>
          <w:i/>
          <w:color w:val="000000"/>
          <w:sz w:val="22"/>
        </w:rPr>
        <w:t xml:space="preserve">Other rehabilitative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arrange for specialized and supportive rehabilitative services when such services are ordered by a physician. (III) These may include audiology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Audiology services shall be under the direction of a person licensed in the state of Iowa by the board of speech pathology and audiology.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Occupational therapy services shall be under the direction of a qualified occupational therapist who is currently registered by the American Occupational Therapy Association.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appropriate professional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the treatment plan and administer or direct treatment in accordance with the prescription and rehabilitation goals;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 with other personnel within the facility who are providing resident care and plan with them for the integration of a treatment program into the overall health care plan.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481—58.23</w:t>
      </w:r>
      <w:r>
        <w:rPr>
          <w:rFonts w:ascii="Times New Roman" w:hAnsi="Times New Roman"/>
          <w:b/>
          <w:i w:val="false"/>
          <w:color w:val="000000"/>
          <w:sz w:val="22"/>
        </w:rPr>
        <w:t xml:space="preserve">(135C) </w:t>
      </w:r>
      <w:r>
        <w:rPr>
          <w:rFonts w:ascii="Times New Roman" w:hAnsi="Times New Roman"/>
          <w:b/>
          <w:i w:val="false"/>
          <w:color w:val="000000"/>
          <w:sz w:val="22"/>
        </w:rPr>
        <w:t xml:space="preserve">Dental, diagnostic, and other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58.23(1)</w:t>
      </w:r>
      <w:r>
        <w:rPr>
          <w:rFonts w:ascii="Times New Roman" w:hAnsi="Times New Roman"/>
          <w:b w:val="false"/>
          <w:i w:val="false"/>
          <w:color w:val="000000"/>
          <w:sz w:val="22"/>
        </w:rPr>
        <w:t> </w:t>
      </w:r>
      <w:r>
        <w:rPr>
          <w:rFonts w:ascii="Times New Roman" w:hAnsi="Times New Roman"/>
          <w:b w:val="false"/>
          <w:i/>
          <w:color w:val="000000"/>
          <w:sz w:val="22"/>
        </w:rPr>
        <w:t xml:space="preserve">Dental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nursing facility personnel shall assist residents to obtain regular and emergency dental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arrangements shall be made when necessary for the resident to be transported to the dentist’s office.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Dental services shall be performed only on the request of the resident, responsible relative, or legal representative. The resident’s physician shall be advised of the resident’s dental problems.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dental reports or progress notes shall be included in the clinical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Nursing personnel shall assist the resident in carrying out dentist’s recommendations.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Dentists shall be asked to participate in the in-service program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58.23(2)</w:t>
      </w:r>
      <w:r>
        <w:rPr>
          <w:rFonts w:ascii="Times New Roman" w:hAnsi="Times New Roman"/>
          <w:b w:val="false"/>
          <w:i w:val="false"/>
          <w:color w:val="000000"/>
          <w:sz w:val="22"/>
        </w:rPr>
        <w:t> </w:t>
      </w:r>
      <w:r>
        <w:rPr>
          <w:rFonts w:ascii="Times New Roman" w:hAnsi="Times New Roman"/>
          <w:b w:val="false"/>
          <w:i/>
          <w:color w:val="000000"/>
          <w:sz w:val="22"/>
        </w:rPr>
        <w:t xml:space="preserve">Diagnostic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nursing facility shall make provisions for promptly securing required clinical laboratory, X-ray, and other diagnostic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diagnostic services shall be provided only on the written, signed order of a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Agreements shall be made with the local hospital laboratory or independent laboratory to perform specific diagnostic tests when they are required.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Transportation arrangements for residents shall be made, when necessary, to and from the source of service.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all diagnostic reports shall be requested by the facility and included in the resident’s clinical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physician ordering the specific diagnostic service shall be promptly notified of the results.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Simple tests such as customarily done by nursing personnel for diabetic residents may be performed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58.23(3)</w:t>
      </w:r>
      <w:r>
        <w:rPr>
          <w:rFonts w:ascii="Times New Roman" w:hAnsi="Times New Roman"/>
          <w:b w:val="false"/>
          <w:i w:val="false"/>
          <w:color w:val="000000"/>
          <w:sz w:val="22"/>
        </w:rPr>
        <w:t> </w:t>
      </w:r>
      <w:r>
        <w:rPr>
          <w:rFonts w:ascii="Times New Roman" w:hAnsi="Times New Roman"/>
          <w:b w:val="false"/>
          <w:i/>
          <w:color w:val="000000"/>
          <w:sz w:val="22"/>
        </w:rPr>
        <w:t xml:space="preserve">Other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nursing facility shall assist residents to obtain such supportive services as requested by the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arrangements shall be made when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could include the need for prosthetic devices, glasses, hearing aids, and other necessary items. (III)</w:t>
      </w:r>
    </w:p>
    <w:p>
      <w:pPr>
        <w:spacing w:before="0" w:after="0"/>
        <w:ind w:left="120"/>
        <w:jc w:val="both"/>
      </w:pPr>
      <w:r>
        <w:rPr>
          <w:rFonts w:ascii="Times New Roman" w:hAnsi="Times New Roman"/>
          <w:b/>
          <w:i w:val="false"/>
          <w:color w:val="000000"/>
          <w:sz w:val="22"/>
        </w:rPr>
        <w:t>481—58.24</w:t>
      </w:r>
      <w:r>
        <w:rPr>
          <w:rFonts w:ascii="Times New Roman" w:hAnsi="Times New Roman"/>
          <w:b/>
          <w:i w:val="false"/>
          <w:color w:val="000000"/>
          <w:sz w:val="22"/>
        </w:rPr>
        <w:t xml:space="preserve">(135C) </w:t>
      </w:r>
      <w:r>
        <w:rPr>
          <w:rFonts w:ascii="Times New Roman" w:hAnsi="Times New Roman"/>
          <w:b/>
          <w:i w:val="false"/>
          <w:color w:val="000000"/>
          <w:sz w:val="22"/>
        </w:rPr>
        <w:t xml:space="preserve">Dietary.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58.24(1)</w:t>
      </w:r>
      <w:r>
        <w:rPr>
          <w:rFonts w:ascii="Times New Roman" w:hAnsi="Times New Roman"/>
          <w:b w:val="false"/>
          <w:i w:val="false"/>
          <w:color w:val="000000"/>
          <w:sz w:val="22"/>
        </w:rPr>
        <w:t> </w:t>
      </w:r>
      <w:r>
        <w:rPr>
          <w:rFonts w:ascii="Times New Roman" w:hAnsi="Times New Roman"/>
          <w:b w:val="false"/>
          <w:i/>
          <w:color w:val="000000"/>
          <w:sz w:val="22"/>
        </w:rPr>
        <w:t xml:space="preserve">Organization of dietetic services. </w:t>
      </w:r>
      <w:r>
        <w:rPr>
          <w:rFonts w:ascii="Times New Roman" w:hAnsi="Times New Roman"/>
          <w:b w:val="false"/>
          <w:i w:val="false"/>
          <w:color w:val="000000"/>
          <w:sz w:val="22"/>
        </w:rPr>
        <w:t>The facility shall meet the needs of the residents and provide the services listed in this standard. If a service is contracted out, the contractor shall meet the same standard. A written agreement shall be formulated between the facility and the contractor and shall convey to the department the right to inspect the food service facilities of the contractor.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for dietetic services that include staffing, nutrition, menu planning, therapeutic diets, preparation, food service, ordering, receiving, storage, sanitation, and staff hygiene. The policies and procedures shall be made available for use by dietetic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job descriptions for each position in dietetic services. The job descriptions shall be made available for use by dietetic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58.24(2)</w:t>
      </w:r>
      <w:r>
        <w:rPr>
          <w:rFonts w:ascii="Times New Roman" w:hAnsi="Times New Roman"/>
          <w:b w:val="false"/>
          <w:i w:val="false"/>
          <w:color w:val="000000"/>
          <w:sz w:val="22"/>
        </w:rPr>
        <w:t> </w:t>
      </w:r>
      <w:r>
        <w:rPr>
          <w:rFonts w:ascii="Times New Roman" w:hAnsi="Times New Roman"/>
          <w:b w:val="false"/>
          <w:i/>
          <w:color w:val="000000"/>
          <w:sz w:val="22"/>
        </w:rPr>
        <w:t xml:space="preserve">Dietary staffing. </w:t>
      </w:r>
      <w:r>
        <w:rPr>
          <w:rFonts w:ascii="Times New Roman" w:hAnsi="Times New Roman"/>
          <w:b w:val="false"/>
          <w:i w:val="false"/>
          <w:color w:val="000000"/>
          <w:sz w:val="22"/>
        </w:rPr>
        <w:t>The facility shall employ dietary staff in accordance with 42 CFR 483.60(a).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supervisor shall have overall supervisory responsibility for dietetic services and shall be employed for a sufficient number of hours to complete management responsibilities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Participating in regular conferences with the consultant dietitian, the administrator and other department heads;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Writing menus with consultation from the dietitian and seeing that current menus are posted and followed and that menu changes are recorded;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Establishing and maintaining standards for food preparation and service;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Participating in selection, orientation, and in-service training of dietary personnel;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Supervising activities of dietary personnel;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Maintaining up-to-date records of residents identified by name, location and diet order;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Visiting residents to learn individual needs and communicating with other members of the health care team regarding nutritional needs of residents when necessary;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Keeping records of repairs of equipment in dietetic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minimum of one person with supervisory and management responsibility and the authority to direct and control food preparation and service shall be a certified food protection manager who has received training from and passed a test that is part of an American National Standards Institute (ANSI)-accredited Certified Food Protection Manager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employ sufficient supportive personnel to carry out the following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Preparing and serving adequate amounts of food that are handled in a manner to be bacteriologically safe;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Washing and sanitizing dishes, pots, pans and equipment at temperatures required by procedures described in the Food Code as defined in Iowa Code section </w:t>
      </w:r>
      <w:hyperlink r:id="rId34">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Serving therapeutic diets as prescribed by the physician or other qualified health care practitioner, including a licensed dietitian if delegated by the physician and within the dietician’s scope of practice, and following the planned menu.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may assign simultaneous duties in the kitchen and laundry, housekeeping, or nursing service to appropriately trained personnel. Proper sanitary and personal hygiene procedures shall be followed in compliance with the Food and Drug Administration Food Code adopted pursuant to Iowa Code section </w:t>
      </w:r>
      <w:hyperlink r:id="rId35">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481—Chapter 31</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dietetic service supervisor is not a licensed dietitian, a consultant dietitian is required. The consultant dietitian shall be licensed by the state of Iowa pursuant to Iowa Code chapter </w:t>
      </w:r>
      <w:hyperlink r:id="rId37">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Consultants’ visits shall be scheduled to be of sufficient duration and at a time convenient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 in the resident’s medical record, any observations, assessments and information pertinent to medical nutrition therapy;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 with residents and staff on resident care plans;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Consult with the administrator and others on developing and implementing policies and procedures;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Write or approve general and therapeutic menus;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Work with the dietetic supervisor on developing procedures, recipes and other management tools;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Present planned in-service training and staff development for food service employees and others. Documentation of consultation shall be available for review in the facility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facilities licensed for more than 15 beds, dietetic services shall be available for a minimum of a 12-hour span extending from the time of preparation of breakfast through supper.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58.24(3)</w:t>
      </w:r>
      <w:r>
        <w:rPr>
          <w:rFonts w:ascii="Times New Roman" w:hAnsi="Times New Roman"/>
          <w:b w:val="false"/>
          <w:i w:val="false"/>
          <w:color w:val="000000"/>
          <w:sz w:val="22"/>
        </w:rPr>
        <w:t> </w:t>
      </w:r>
      <w:r>
        <w:rPr>
          <w:rFonts w:ascii="Times New Roman" w:hAnsi="Times New Roman"/>
          <w:b w:val="false"/>
          <w:i/>
          <w:color w:val="000000"/>
          <w:sz w:val="22"/>
        </w:rPr>
        <w:t xml:space="preserve">Nutrition and menu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followed to meet the nutritional needs of each resident in accordance with a qualified health care practitioner’s orders and in consideration of the resident’s allergies, intolerances, choices, and preferences.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to provide 100 percent of the daily recommended dietary allowances as established by the Food and Nutrition Board of the National Research Council of the National Academy of Sciences. A current copy of the Simplified Diet Manual or other suitable diet manual shall be available and used in the planning and serving of all meals.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three meals or their equivalent shall be served daily at regular hours.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a 14-hour span between a substantial evening meal and breakfast except as provided in subparagraph (3) below.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Suitable, nourishing alternative meals and snacks must be provided to residents who want to eat at nontraditional times or outside of scheduled meal service times, consistent with the resident plan of care and 42 CFR 483.60(f) and federal interpretive guidelines.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nourishing snack is provided at bedtime, up to 16 hours may elapse between a substantial evening meal and breakfast of the following day. The current resident group must agree to this meal span and a nourishing snack must be served.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Menus shall include a variety of foods prepared in various 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Menus shall be written at least one week in advance. The current menu shall be located in an accessible place in the dietetic services department for easy use by persons purchasing, preparing and serving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Records of menus as served shall be filed and maintained for 30 days and shall be available for review by department personnel. When substitutions are necessary, they shall be of similar nutritive value and recorded.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file of tested recipes adjusted to the number of people to be served in the facility shall be maintained.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Alternate foods of similar nutritional value shall be offered to residents who refuse the food served.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58.24(4)</w:t>
      </w:r>
      <w:r>
        <w:rPr>
          <w:rFonts w:ascii="Times New Roman" w:hAnsi="Times New Roman"/>
          <w:b w:val="false"/>
          <w:i w:val="false"/>
          <w:color w:val="000000"/>
          <w:sz w:val="22"/>
        </w:rPr>
        <w:t> </w:t>
      </w:r>
      <w:r>
        <w:rPr>
          <w:rFonts w:ascii="Times New Roman" w:hAnsi="Times New Roman"/>
          <w:b w:val="false"/>
          <w:i/>
          <w:color w:val="000000"/>
          <w:sz w:val="22"/>
        </w:rPr>
        <w:t xml:space="preserve">Therapeutic diets and nutritional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each resident has a nutritional assessment completed by the licensed dietitian within 14 days of admission or after the facility determines there has been a significant change in the resident’s physical or mental condition that addresses the residents’ medical condition and therapeutic dietary needs, desires and rights in regard to their nutritional plan.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Therapeutic diets shall be prescribed by the resident’s physician or other qualified health care practitioner. A current edition of the Simplified Diet Manual or other suitable diet manual shall be readily available to physicians, nurses and dietetic services personnel. A current diet manual shall be used as a guide for writing menus for therapeutic diets. A licensed dietitian shall be responsible for writing and approving the therapeutic menu and reviewing procedures for preparation and service of food.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Personnel responsible for planning, preparing and serving therapeutic diets shall receive instructions on those diets.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each resident maintains acceptable parameters of nutritional status, such as body weight, unless the resident’s clinical condition demonstrates that this is not possible.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58.24(5)</w:t>
      </w:r>
      <w:r>
        <w:rPr>
          <w:rFonts w:ascii="Times New Roman" w:hAnsi="Times New Roman"/>
          <w:b w:val="false"/>
          <w:i w:val="false"/>
          <w:color w:val="000000"/>
          <w:sz w:val="22"/>
        </w:rPr>
        <w:t> </w:t>
      </w:r>
      <w:r>
        <w:rPr>
          <w:rFonts w:ascii="Times New Roman" w:hAnsi="Times New Roman"/>
          <w:b w:val="false"/>
          <w:i/>
          <w:color w:val="000000"/>
          <w:sz w:val="22"/>
        </w:rPr>
        <w:t xml:space="preserve">Food handling, preparation and service. </w:t>
      </w:r>
      <w:r>
        <w:rPr>
          <w:rFonts w:ascii="Times New Roman" w:hAnsi="Times New Roman"/>
          <w:b w:val="false"/>
          <w:i w:val="false"/>
          <w:color w:val="000000"/>
          <w:sz w:val="22"/>
        </w:rPr>
        <w:t xml:space="preserve">All food shall be handled, prepared and served in compliance with the requirements of the Food and Drug Administration Food Code adopted under provisions of Iowa Code section </w:t>
      </w:r>
      <w:hyperlink r:id="rId38">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(I, II, III) In addition,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Methods used to prepare foods shall be those which conserve nutritive value and flavor and meet the taste preferences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Foods shall be attractively served.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Foods shall be cut up, chopped, ground or blended to meet individual needs.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Self-help devices shall be provided as needed.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Disposables shall not be used routinely. Plasticware, china and glassware that are unsightly, unsanitary or hazardous because of chips, cracks or loss of glaze shall be discarded.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food that is transported through public corridors shall be covered.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Residents may be allowed in the food preparation area.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food preparation area may be used as a dining area for residents, staff or food service personnel if the facility engages in person-directed care.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There shall be effective written procedures established for cleaning all work and serving areas.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schedule of cleaning duties to be performed daily shall be posted.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 exhaust system and hood shall be clean, operational and maintained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food service area shall be located so it will not be used as a passageway by residents, guests or non-food service staff.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58.24(6)</w:t>
      </w:r>
      <w:r>
        <w:rPr>
          <w:rFonts w:ascii="Times New Roman" w:hAnsi="Times New Roman"/>
          <w:b w:val="false"/>
          <w:i w:val="false"/>
          <w:color w:val="000000"/>
          <w:sz w:val="22"/>
        </w:rPr>
        <w:t> </w:t>
      </w:r>
      <w:r>
        <w:rPr>
          <w:rFonts w:ascii="Times New Roman" w:hAnsi="Times New Roman"/>
          <w:b w:val="false"/>
          <w:i/>
          <w:color w:val="000000"/>
          <w:sz w:val="22"/>
        </w:rPr>
        <w:t xml:space="preserve">Paid nutritional assistants. </w:t>
      </w:r>
      <w:r>
        <w:rPr>
          <w:rFonts w:ascii="Times New Roman" w:hAnsi="Times New Roman"/>
          <w:b w:val="false"/>
          <w:i w:val="false"/>
          <w:color w:val="000000"/>
          <w:sz w:val="22"/>
        </w:rPr>
        <w:t>A paid nutritional assistant means an individual who meets the requirements of this subrule and who is an employee of the facility or an employee of a temporary employment agency employed by the facility. A facility may use an individual working in the facility as a paid nutritional assistant only if that individual has successfully completed a state-approved training program for paid nutritional assistants.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Training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state-approved training program for paid nutritional assistants must include, at a minimum, eight hours of training in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Feeding techniques.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Assistance with feeding and hydration.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 and interpersonal skills.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Appropriate responses to resident behavior.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Safety and emergency procedures, including the Heimlich maneuver.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Resident rights.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Recognizing changes in residents that are inconsistent with their normal behavior and reporting these changes to the supervisory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addition to the training program requirements specified in subparagraph (1), the training program must include at least four hours of classroom study, two hours of supervised laboratory work, and two hours of supervised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facility that offers a paid nutritional assistant training program must provide sufficient supplies in order to teach the objectives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paid nutritional assistant training program instructors shall be registered nurses. Other qualified health care professionals may assist the instructor in teaching the classroom portion and clinical or laboratory experience. The ratio of students to instructor shall not exceed ten students per instructor in the clinical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individual enrolled in a paid nutritional assistant training program shall complete a 50-question multiple choice written test and must obtain a score of 80 percent or higher. In addition, the individual must successfully perform the feeding of a resident in a clinical setting. A registered nurse shall conduct the final competency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an individual does not pass either the written test or competency demonstration, the individual may retest the failed portion a second time. If the individual does not pass either the written test or competency demonstration portion the second time, the individual shall not be allowed to retest.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approval. </w:t>
      </w:r>
      <w:r>
        <w:rPr>
          <w:rFonts w:ascii="Times New Roman" w:hAnsi="Times New Roman"/>
          <w:b w:val="false"/>
          <w:i w:val="false"/>
          <w:color w:val="000000"/>
          <w:sz w:val="22"/>
        </w:rPr>
        <w:t>A facility or other entity may not offer or teach a paid nutritional assistant training program until the department has approved the program. Individuals trained in a program not approved by the department will not be allowed to function as paid nutritional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facility or other institution offering a paid nutritional assistant training program must provide the following information about the training program to the department before offering the program or teaching paid nutritional assistants: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Policies and procedures for program administration.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Qualifications of the instructors.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Maintenance of program records, including attendance records.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Criteria for determining competency.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Program costs and refund policies.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Lesson plans, including the objectives to be taught, skills demonstrations, assignments, quizzes, and classroom, laboratory and clinical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or other institution offering a paid nutritional assistant training program must submit the materials specified in subparagraph (1) for department review. The department shall, within ten days of receipt of the material, advise the facility or institution whether the program is approved, or request additional information to assist the department in determining whether the curriculum meets the requirements for a paid nutritional assistant training program. Before approving any paid nutritional assistant training program, the department shall determine whether the curriculum meets the requirements specified in this subrule. The department shall maintain a list of facilities and institutions eligible to provide paid nutritional assistant training.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facility shall maintain a record of all individuals who have successfully completed the required training program and are used by the facility as paid nutritional assistants. The individual shall complete the training program with a demonstration of knowledge and competency skills necessary to serve as a paid nutritional assistant.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or other institution providing the training shall, within ten calendar days of an individual’s successful completion of the training program, provide the individual with a signed and dated certificate of completion. A facility that employs paid nutritional assistants shall maintain on file copies of the completed certificate and skills checklist for each individual who has successfully completed the training program.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Working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paid nutritional assistant must work under the supervision of a registered nurse or a licensed practical nurse. In an emergency, a paid nutritional assistant must call a supervisory nurse on the resident call system for help.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facility must ensure that a paid nutritional assistant feeds only residents who have no complicated feeding problems. Complicated feeding problems include, but are not limited to, difficulty swallowing, recurrent lung aspirations, and tube, parenteral or intravenous feedings. The facility must base resident selection on the charge nurse’s assessment and the resident’s latest assessment and plan of care.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2560C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481—58.25</w:t>
      </w:r>
      <w:r>
        <w:rPr>
          <w:rFonts w:ascii="Times New Roman" w:hAnsi="Times New Roman"/>
          <w:b/>
          <w:i w:val="false"/>
          <w:color w:val="000000"/>
          <w:sz w:val="22"/>
        </w:rPr>
        <w:t xml:space="preserve">(135C) </w:t>
      </w:r>
      <w:r>
        <w:rPr>
          <w:rFonts w:ascii="Times New Roman" w:hAnsi="Times New Roman"/>
          <w:b/>
          <w:i w:val="false"/>
          <w:color w:val="000000"/>
          <w:sz w:val="22"/>
        </w:rPr>
        <w:t xml:space="preserve">Social services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58.25(1)</w:t>
      </w:r>
      <w:r>
        <w:rPr>
          <w:rFonts w:ascii="Times New Roman" w:hAnsi="Times New Roman"/>
          <w:b w:val="false"/>
          <w:i w:val="false"/>
          <w:color w:val="000000"/>
          <w:sz w:val="22"/>
        </w:rPr>
        <w:t> </w:t>
      </w:r>
      <w:r>
        <w:rPr>
          <w:rFonts w:ascii="Times New Roman" w:hAnsi="Times New Roman"/>
          <w:b w:val="false"/>
          <w:i w:val="false"/>
          <w:color w:val="000000"/>
          <w:sz w:val="22"/>
        </w:rPr>
        <w:t>The administrator or designee shall be responsible for developing a written, organized orientation program for all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58.25(2)</w:t>
      </w:r>
      <w:r>
        <w:rPr>
          <w:rFonts w:ascii="Times New Roman" w:hAnsi="Times New Roman"/>
          <w:b w:val="false"/>
          <w:i w:val="false"/>
          <w:color w:val="000000"/>
          <w:sz w:val="22"/>
        </w:rPr>
        <w:t> </w:t>
      </w:r>
      <w:r>
        <w:rPr>
          <w:rFonts w:ascii="Times New Roman" w:hAnsi="Times New Roman"/>
          <w:b w:val="false"/>
          <w:i w:val="false"/>
          <w:color w:val="000000"/>
          <w:sz w:val="22"/>
        </w:rPr>
        <w:t>The program shall be planned and implemented to resolve or reduce personal, family, business, and emotional problems that may interfere with the medical or health care, recovery, and rehabilitation of the individual.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58.25(3)</w:t>
      </w:r>
      <w:r>
        <w:rPr>
          <w:rFonts w:ascii="Times New Roman" w:hAnsi="Times New Roman"/>
          <w:b w:val="false"/>
          <w:i w:val="false"/>
          <w:color w:val="000000"/>
          <w:sz w:val="22"/>
        </w:rPr>
        <w:t> </w:t>
      </w:r>
      <w:r>
        <w:rPr>
          <w:rFonts w:ascii="Times New Roman" w:hAnsi="Times New Roman"/>
          <w:b w:val="false"/>
          <w:i w:val="false"/>
          <w:color w:val="000000"/>
          <w:sz w:val="22"/>
        </w:rPr>
        <w:t>The social services plan, including specific goals and regular evaluation of progress, shall be incorporated into the overall plan of care. (III)</w:t>
      </w:r>
    </w:p>
    <w:p>
      <w:pPr>
        <w:spacing w:before="0" w:after="0"/>
        <w:ind w:left="120"/>
        <w:jc w:val="both"/>
      </w:pPr>
      <w:r>
        <w:rPr>
          <w:rFonts w:ascii="Times New Roman" w:hAnsi="Times New Roman"/>
          <w:b/>
          <w:i w:val="false"/>
          <w:color w:val="000000"/>
          <w:sz w:val="22"/>
        </w:rPr>
        <w:t>481—58.26</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activities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58.26(1)</w:t>
      </w:r>
      <w:r>
        <w:rPr>
          <w:rFonts w:ascii="Times New Roman" w:hAnsi="Times New Roman"/>
          <w:b w:val="false"/>
          <w:i w:val="false"/>
          <w:color w:val="000000"/>
          <w:sz w:val="22"/>
        </w:rPr>
        <w:t> </w:t>
      </w:r>
      <w:r>
        <w:rPr>
          <w:rFonts w:ascii="Times New Roman" w:hAnsi="Times New Roman"/>
          <w:b w:val="false"/>
          <w:i/>
          <w:color w:val="000000"/>
          <w:sz w:val="22"/>
        </w:rPr>
        <w:t xml:space="preserve">Organized activities. </w:t>
      </w:r>
      <w:r>
        <w:rPr>
          <w:rFonts w:ascii="Times New Roman" w:hAnsi="Times New Roman"/>
          <w:b w:val="false"/>
          <w:i w:val="false"/>
          <w:color w:val="000000"/>
          <w:sz w:val="22"/>
        </w:rPr>
        <w:t>Each nursing facility shall provide an organized resident activity program for the group and for the individual resident which shall include suitable activities for evenings and weekends.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activity program shall be designed to meet the needs and interests of each resident and to assist residents in continuing normal activities within limitations set by the resident’s physician. This shall include helping residents continue in their individual interests or hobbies.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include individual goals for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include both group and individual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resident shall be forced to participate in the activity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activity program shall include suitable activities for those residents unable to leave their rooms.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program shall be incorporated into the overall health plan and shall be designed to meet the goals as written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58.26(2)</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activities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nursing facility shall employ a person to direct the activities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Staffing for the activity program shall be sufficient to meet the residents’ activity needs.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activity coordinator shall attend workshops or educational programs which relate to activity programming. These shall total a minimum of ten contact hours per year. These programs shall be approved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plan for personnel coverage when the activity coordinator is absent during scheduled working hours.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58.26(3)</w:t>
      </w:r>
      <w:r>
        <w:rPr>
          <w:rFonts w:ascii="Times New Roman" w:hAnsi="Times New Roman"/>
          <w:b w:val="false"/>
          <w:i w:val="false"/>
          <w:color w:val="000000"/>
          <w:sz w:val="22"/>
        </w:rPr>
        <w:t> </w:t>
      </w:r>
      <w:r>
        <w:rPr>
          <w:rFonts w:ascii="Times New Roman" w:hAnsi="Times New Roman"/>
          <w:b w:val="false"/>
          <w:i/>
          <w:color w:val="000000"/>
          <w:sz w:val="22"/>
        </w:rPr>
        <w:t xml:space="preserve">Duties of activity coordinator. </w:t>
      </w:r>
      <w:r>
        <w:rPr>
          <w:rFonts w:ascii="Times New Roman" w:hAnsi="Times New Roman"/>
          <w:b w:val="false"/>
          <w:i w:val="false"/>
          <w:color w:val="000000"/>
          <w:sz w:val="22"/>
        </w:rPr>
        <w:t>The activity coordinator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access to all residents’ records excluding financial 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Coordinate all activities, including volunteer or auxiliary activities and religious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Keep all necessary records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resident progress notes recorded at regular intervals (at least quarterly). A copy of these notes shall be placed in the resident’s clinical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Monthly calendars, prepared in advance.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Coordinate the activity program with all other services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Participate in the in-service training program in the facility. This shall include attending as well as presenting sessions.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58.26(4)</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provide a variety of supplies and equipment of a nature calculated to fit the needs and interests of the residents. (III) These may include: books (standard and large print), magazines, newspapers, radio, television, and bulletin boards. Also appropriate would be box games, game equipment, songbooks, cards, craft supplies, record player, movie projector, piano, outdoor equipment,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shall be provided for recreational equipment and supplies.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Locked storage should be available for potentially dangerous items such as scissors, knives, and toxic materials.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481—58.27</w:t>
      </w:r>
      <w:r>
        <w:rPr>
          <w:rFonts w:ascii="Times New Roman" w:hAnsi="Times New Roman"/>
          <w:b/>
          <w:i w:val="false"/>
          <w:color w:val="000000"/>
          <w:sz w:val="22"/>
        </w:rPr>
        <w:t xml:space="preserve">(135C) </w:t>
      </w:r>
      <w:r>
        <w:rPr>
          <w:rFonts w:ascii="Times New Roman" w:hAnsi="Times New Roman"/>
          <w:b/>
          <w:i w:val="false"/>
          <w:color w:val="000000"/>
          <w:sz w:val="22"/>
        </w:rPr>
        <w:t xml:space="preserve">Certified volunteer long-term care ombudsman program.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7033C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5/31/23</w:t>
      </w:r>
      <w:r>
        <w:rPr>
          <w:rFonts w:ascii="Times New Roman" w:hAnsi="Times New Roman"/>
          <w:b w:val="false"/>
          <w:i w:val="false"/>
          <w:color w:val="000000"/>
          <w:sz w:val="22"/>
        </w:rPr>
        <w:t xml:space="preserve">, effective 7/5/23. </w:t>
      </w:r>
    </w:p>
    <w:p>
      <w:pPr>
        <w:spacing w:before="0" w:after="0"/>
        <w:ind w:left="120"/>
        <w:jc w:val="both"/>
      </w:pPr>
      <w:r>
        <w:rPr>
          <w:rFonts w:ascii="Times New Roman" w:hAnsi="Times New Roman"/>
          <w:b/>
          <w:i w:val="false"/>
          <w:color w:val="000000"/>
          <w:sz w:val="22"/>
        </w:rPr>
        <w:t>481—58.28</w:t>
      </w:r>
      <w:r>
        <w:rPr>
          <w:rFonts w:ascii="Times New Roman" w:hAnsi="Times New Roman"/>
          <w:b/>
          <w:i w:val="false"/>
          <w:color w:val="000000"/>
          <w:sz w:val="22"/>
        </w:rPr>
        <w:t xml:space="preserve">(135C) </w:t>
      </w:r>
      <w:r>
        <w:rPr>
          <w:rFonts w:ascii="Times New Roman" w:hAnsi="Times New Roman"/>
          <w:b/>
          <w:i w:val="false"/>
          <w:color w:val="000000"/>
          <w:sz w:val="22"/>
        </w:rPr>
        <w:t xml:space="preserve">Safety. </w:t>
      </w:r>
      <w:r>
        <w:rPr>
          <w:rFonts w:ascii="Times New Roman" w:hAnsi="Times New Roman"/>
          <w:b w:val="false"/>
          <w:i w:val="false"/>
          <w:color w:val="000000"/>
          <w:sz w:val="22"/>
        </w:rPr>
        <w:t>The licensee of a nursing facility shall be responsible for the provision and maintenance of a safe environment for residents and 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58.28(1)</w:t>
      </w:r>
      <w:r>
        <w:rPr>
          <w:rFonts w:ascii="Times New Roman" w:hAnsi="Times New Roman"/>
          <w:b w:val="false"/>
          <w:i w:val="false"/>
          <w:color w:val="000000"/>
          <w:sz w:val="22"/>
        </w:rPr>
        <w:t> </w:t>
      </w:r>
      <w:r>
        <w:rPr>
          <w:rFonts w:ascii="Times New Roman" w:hAnsi="Times New Roman"/>
          <w:b w:val="false"/>
          <w:i/>
          <w:color w:val="000000"/>
          <w:sz w:val="22"/>
        </w:rPr>
        <w:t xml:space="preserve">Fire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nursing facilities shall meet the fire safety rules and regulations as promulgated by the state fire marshal.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of the facility and needs of the residents shall be taken into consideration in evaluating safety precautions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58.28(2)</w:t>
      </w:r>
      <w:r>
        <w:rPr>
          <w:rFonts w:ascii="Times New Roman" w:hAnsi="Times New Roman"/>
          <w:b w:val="false"/>
          <w:i w:val="false"/>
          <w:color w:val="000000"/>
          <w:sz w:val="22"/>
        </w:rPr>
        <w:t> </w:t>
      </w:r>
      <w:r>
        <w:rPr>
          <w:rFonts w:ascii="Times New Roman" w:hAnsi="Times New Roman"/>
          <w:b w:val="false"/>
          <w:i/>
          <w:color w:val="000000"/>
          <w:sz w:val="22"/>
        </w:rPr>
        <w:t xml:space="preserve">Safety duties of administrator. </w:t>
      </w:r>
      <w:r>
        <w:rPr>
          <w:rFonts w:ascii="Times New Roman" w:hAnsi="Times New Roman"/>
          <w:b w:val="false"/>
          <w:i w:val="false"/>
          <w:color w:val="000000"/>
          <w:sz w:val="22"/>
        </w:rPr>
        <w:t>The administrator shall have a written emergency plan to be followed in the event of fire, tornado, explosion, or other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posted.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In-service shall be provided to ensure that all employees are knowledgeable of the emergency plan.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58.28(3)</w:t>
      </w:r>
      <w:r>
        <w:rPr>
          <w:rFonts w:ascii="Times New Roman" w:hAnsi="Times New Roman"/>
          <w:b w:val="false"/>
          <w:i w:val="false"/>
          <w:color w:val="000000"/>
          <w:sz w:val="22"/>
        </w:rPr>
        <w:t> </w:t>
      </w:r>
      <w:r>
        <w:rPr>
          <w:rFonts w:ascii="Times New Roman" w:hAnsi="Times New Roman"/>
          <w:b w:val="false"/>
          <w:i/>
          <w:color w:val="000000"/>
          <w:sz w:val="22"/>
        </w:rPr>
        <w:t xml:space="preserve">Resident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smoke only where proper facilities are provided. Smoking shall not be permitted in bedrooms. Smoking by residents considered to be careless shall be prohibited except when the resident is under direct supervision.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Smoking is prohibited in all rooms where oxygen is being administered or in rooms where oxygen is stored.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Whenever full or empty tanks of oxygen are being used or stored, they shall be securely supported in an upright position.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Smoking shall be permitted only in posted areas.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resident shall receive adequate supervision to protect against hazards from self, others, or elements in the environment.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Residents shall be protected against physical or environmental hazards to themselves.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481—58.29</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58.29(1)</w:t>
      </w:r>
      <w:r>
        <w:rPr>
          <w:rFonts w:ascii="Times New Roman" w:hAnsi="Times New Roman"/>
          <w:b w:val="false"/>
          <w:i w:val="false"/>
          <w:color w:val="000000"/>
          <w:sz w:val="22"/>
        </w:rPr>
        <w:t> </w:t>
      </w:r>
      <w:r>
        <w:rPr>
          <w:rFonts w:ascii="Times New Roman" w:hAnsi="Times New Roman"/>
          <w:b w:val="false"/>
          <w:i w:val="false"/>
          <w:color w:val="000000"/>
          <w:sz w:val="22"/>
        </w:rPr>
        <w:t>There shall be a readily available supply of self-help and ambulation devices such as wheelchairs, walkers, and such other devices maintained in good repair that will meet the current needs of all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58.29(2)</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each ambulatory resident has well-fitting shoes to provide support and prevent slipping.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58.29(3)</w:t>
      </w:r>
      <w:r>
        <w:rPr>
          <w:rFonts w:ascii="Times New Roman" w:hAnsi="Times New Roman"/>
          <w:b w:val="false"/>
          <w:i w:val="false"/>
          <w:color w:val="000000"/>
          <w:sz w:val="22"/>
        </w:rPr>
        <w:t> </w:t>
      </w:r>
      <w:r>
        <w:rPr>
          <w:rFonts w:ascii="Times New Roman" w:hAnsi="Times New Roman"/>
          <w:b w:val="false"/>
          <w:i w:val="false"/>
          <w:color w:val="000000"/>
          <w:sz w:val="22"/>
        </w:rPr>
        <w:t>Equipment for personal care shall be maintained in a safe and sanitary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58.29(4)</w:t>
      </w:r>
      <w:r>
        <w:rPr>
          <w:rFonts w:ascii="Times New Roman" w:hAnsi="Times New Roman"/>
          <w:b w:val="false"/>
          <w:i w:val="false"/>
          <w:color w:val="000000"/>
          <w:sz w:val="22"/>
        </w:rPr>
        <w:t> </w:t>
      </w:r>
      <w:r>
        <w:rPr>
          <w:rFonts w:ascii="Times New Roman" w:hAnsi="Times New Roman"/>
          <w:b w:val="false"/>
          <w:i w:val="false"/>
          <w:color w:val="000000"/>
          <w:sz w:val="22"/>
        </w:rPr>
        <w:t>The expiration date for sterile equipment shall be exhibited on its wrappings.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58.29(5)</w:t>
      </w:r>
      <w:r>
        <w:rPr>
          <w:rFonts w:ascii="Times New Roman" w:hAnsi="Times New Roman"/>
          <w:b w:val="false"/>
          <w:i w:val="false"/>
          <w:color w:val="000000"/>
          <w:sz w:val="22"/>
        </w:rPr>
        <w:t> </w:t>
      </w:r>
      <w:r>
        <w:rPr>
          <w:rFonts w:ascii="Times New Roman" w:hAnsi="Times New Roman"/>
          <w:b w:val="false"/>
          <w:i w:val="false"/>
          <w:color w:val="000000"/>
          <w:sz w:val="22"/>
        </w:rPr>
        <w:t>Residents who have been known to wander shall be provided with appropriate means of identification.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58.29(6)</w:t>
      </w:r>
      <w:r>
        <w:rPr>
          <w:rFonts w:ascii="Times New Roman" w:hAnsi="Times New Roman"/>
          <w:b w:val="false"/>
          <w:i w:val="false"/>
          <w:color w:val="000000"/>
          <w:sz w:val="22"/>
        </w:rPr>
        <w:t> </w:t>
      </w:r>
      <w:r>
        <w:rPr>
          <w:rFonts w:ascii="Times New Roman" w:hAnsi="Times New Roman"/>
          <w:b w:val="false"/>
          <w:i w:val="false"/>
          <w:color w:val="000000"/>
          <w:sz w:val="22"/>
        </w:rPr>
        <w:t>Electric heating pads, blankets, or sheets shall be used only on the written order of a physician, when allowed by the Life Safety Code or applicable state or local fire regulations. (II, III)</w:t>
      </w:r>
    </w:p>
    <w:p>
      <w:pPr>
        <w:spacing w:before="210" w:after="0"/>
        <w:ind w:left="120"/>
        <w:jc w:val="both"/>
      </w:pPr>
      <w:r>
        <w:rPr>
          <w:rFonts w:ascii="Times New Roman" w:hAnsi="Times New Roman"/>
          <w:b/>
          <w:i w:val="false"/>
          <w:color w:val="000000"/>
          <w:sz w:val="22"/>
        </w:rPr>
        <w:t>481—58.30</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i w:val="false"/>
          <w:color w:val="000000"/>
          <w:sz w:val="22"/>
        </w:rPr>
        <w:t>481—58.31</w:t>
      </w:r>
      <w:r>
        <w:rPr>
          <w:rFonts w:ascii="Times New Roman" w:hAnsi="Times New Roman"/>
          <w:b/>
          <w:i w:val="false"/>
          <w:color w:val="000000"/>
          <w:sz w:val="22"/>
        </w:rPr>
        <w:t xml:space="preserve">(135C) </w:t>
      </w:r>
      <w:r>
        <w:rPr>
          <w:rFonts w:ascii="Times New Roman" w:hAnsi="Times New Roman"/>
          <w:b/>
          <w:i w:val="false"/>
          <w:color w:val="000000"/>
          <w:sz w:val="22"/>
        </w:rPr>
        <w:t xml:space="preserve">Housekeeping.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w:t>
      </w:r>
      <w:r>
        <w:rPr>
          <w:rFonts w:ascii="Times New Roman" w:hAnsi="Times New Roman"/>
          <w:b w:val="false"/>
          <w:i w:val="false"/>
          <w:color w:val="000000"/>
          <w:sz w:val="22"/>
        </w:rPr>
        <w:t> </w:t>
      </w:r>
      <w:r>
        <w:rPr>
          <w:rFonts w:ascii="Times New Roman" w:hAnsi="Times New Roman"/>
          <w:b w:val="false"/>
          <w:i w:val="false"/>
          <w:color w:val="000000"/>
          <w:sz w:val="22"/>
        </w:rPr>
        <w:t>Written procedures shall be established and implemented for daily and weekly cleaning schedules.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58.31(2)</w:t>
      </w:r>
      <w:r>
        <w:rPr>
          <w:rFonts w:ascii="Times New Roman" w:hAnsi="Times New Roman"/>
          <w:b w:val="false"/>
          <w:i w:val="false"/>
          <w:color w:val="000000"/>
          <w:sz w:val="22"/>
        </w:rPr>
        <w:t> </w:t>
      </w:r>
      <w:r>
        <w:rPr>
          <w:rFonts w:ascii="Times New Roman" w:hAnsi="Times New Roman"/>
          <w:b w:val="false"/>
          <w:i w:val="false"/>
          <w:color w:val="000000"/>
          <w:sz w:val="22"/>
        </w:rPr>
        <w:t>Each resident unit shall be cleaned on a routine schedule.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58.31(3)</w:t>
      </w:r>
      <w:r>
        <w:rPr>
          <w:rFonts w:ascii="Times New Roman" w:hAnsi="Times New Roman"/>
          <w:b w:val="false"/>
          <w:i w:val="false"/>
          <w:color w:val="000000"/>
          <w:sz w:val="22"/>
        </w:rPr>
        <w:t> </w:t>
      </w:r>
      <w:r>
        <w:rPr>
          <w:rFonts w:ascii="Times New Roman" w:hAnsi="Times New Roman"/>
          <w:b w:val="false"/>
          <w:i w:val="false"/>
          <w:color w:val="000000"/>
          <w:sz w:val="22"/>
        </w:rPr>
        <w:t>All rooms, corridors, storage areas, linen closets, attics, and basements shall be kept in a clean, orderly condition, free of unserviceable furniture and equipment and accumulations of refuse.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58.31(4)</w:t>
      </w:r>
      <w:r>
        <w:rPr>
          <w:rFonts w:ascii="Times New Roman" w:hAnsi="Times New Roman"/>
          <w:b w:val="false"/>
          <w:i w:val="false"/>
          <w:color w:val="000000"/>
          <w:sz w:val="22"/>
        </w:rPr>
        <w:t> </w:t>
      </w:r>
      <w:r>
        <w:rPr>
          <w:rFonts w:ascii="Times New Roman" w:hAnsi="Times New Roman"/>
          <w:b w:val="false"/>
          <w:i w:val="false"/>
          <w:color w:val="000000"/>
          <w:sz w:val="22"/>
        </w:rPr>
        <w:t>A hallway or corridor shall not be used for storage of equipment.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58.31(5)</w:t>
      </w:r>
      <w:r>
        <w:rPr>
          <w:rFonts w:ascii="Times New Roman" w:hAnsi="Times New Roman"/>
          <w:b w:val="false"/>
          <w:i w:val="false"/>
          <w:color w:val="000000"/>
          <w:sz w:val="22"/>
        </w:rPr>
        <w:t> </w:t>
      </w:r>
      <w:r>
        <w:rPr>
          <w:rFonts w:ascii="Times New Roman" w:hAnsi="Times New Roman"/>
          <w:b w:val="false"/>
          <w:i w:val="false"/>
          <w:color w:val="000000"/>
          <w:sz w:val="22"/>
        </w:rPr>
        <w:t>All odors shall be kept under control by cleanliness and proper ventilation.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58.31(6)</w:t>
      </w:r>
      <w:r>
        <w:rPr>
          <w:rFonts w:ascii="Times New Roman" w:hAnsi="Times New Roman"/>
          <w:b w:val="false"/>
          <w:i w:val="false"/>
          <w:color w:val="000000"/>
          <w:sz w:val="22"/>
        </w:rPr>
        <w:t> </w:t>
      </w:r>
      <w:r>
        <w:rPr>
          <w:rFonts w:ascii="Times New Roman" w:hAnsi="Times New Roman"/>
          <w:b w:val="false"/>
          <w:i w:val="false"/>
          <w:color w:val="000000"/>
          <w:sz w:val="22"/>
        </w:rPr>
        <w:t>Clothing worn by personnel shall be clean and washable.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58.31(7)</w:t>
      </w:r>
      <w:r>
        <w:rPr>
          <w:rFonts w:ascii="Times New Roman" w:hAnsi="Times New Roman"/>
          <w:b w:val="false"/>
          <w:i w:val="false"/>
          <w:color w:val="000000"/>
          <w:sz w:val="22"/>
        </w:rPr>
        <w:t> </w:t>
      </w:r>
      <w:r>
        <w:rPr>
          <w:rFonts w:ascii="Times New Roman" w:hAnsi="Times New Roman"/>
          <w:b w:val="false"/>
          <w:i w:val="false"/>
          <w:color w:val="000000"/>
          <w:sz w:val="22"/>
        </w:rPr>
        <w:t>Housekeeping and maintenance personnel shall be provided with well-constructed and properly maintained equipment appropriate to the function for which it is to be used.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58.31(8)</w:t>
      </w:r>
      <w:r>
        <w:rPr>
          <w:rFonts w:ascii="Times New Roman" w:hAnsi="Times New Roman"/>
          <w:b w:val="false"/>
          <w:i w:val="false"/>
          <w:color w:val="000000"/>
          <w:sz w:val="22"/>
        </w:rPr>
        <w:t> </w:t>
      </w:r>
      <w:r>
        <w:rPr>
          <w:rFonts w:ascii="Times New Roman" w:hAnsi="Times New Roman"/>
          <w:b w:val="false"/>
          <w:i w:val="false"/>
          <w:color w:val="000000"/>
          <w:sz w:val="22"/>
        </w:rPr>
        <w:t>All furniture, bedding, linens, and equipment shall be cleaned periodically and before use by another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58.31(9)</w:t>
      </w:r>
      <w:r>
        <w:rPr>
          <w:rFonts w:ascii="Times New Roman" w:hAnsi="Times New Roman"/>
          <w:b w:val="false"/>
          <w:i w:val="false"/>
          <w:color w:val="000000"/>
          <w:sz w:val="22"/>
        </w:rPr>
        <w:t> </w:t>
      </w:r>
      <w:r>
        <w:rPr>
          <w:rFonts w:ascii="Times New Roman" w:hAnsi="Times New Roman"/>
          <w:b w:val="false"/>
          <w:i w:val="false"/>
          <w:color w:val="000000"/>
          <w:sz w:val="22"/>
        </w:rPr>
        <w:t>Polishes used on floors shall provide a nonslip finish.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58.31(10)</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Throw or scatter rugs shall not be permitted.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58.31(11)</w:t>
      </w:r>
      <w:r>
        <w:rPr>
          <w:rFonts w:ascii="Times New Roman" w:hAnsi="Times New Roman"/>
          <w:b w:val="false"/>
          <w:i w:val="false"/>
          <w:color w:val="000000"/>
          <w:sz w:val="22"/>
        </w:rPr>
        <w:t> </w:t>
      </w:r>
      <w:r>
        <w:rPr>
          <w:rFonts w:ascii="Times New Roman" w:hAnsi="Times New Roman"/>
          <w:b w:val="false"/>
          <w:i w:val="false"/>
          <w:color w:val="000000"/>
          <w:sz w:val="22"/>
        </w:rPr>
        <w:t>Entrances, exits, steps, and outside walkways shall be kept free from ice, snow, and other hazards.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58.31(12)</w:t>
      </w:r>
      <w:r>
        <w:rPr>
          <w:rFonts w:ascii="Times New Roman" w:hAnsi="Times New Roman"/>
          <w:b w:val="false"/>
          <w:i w:val="false"/>
          <w:color w:val="000000"/>
          <w:sz w:val="22"/>
        </w:rPr>
        <w:t> </w:t>
      </w:r>
      <w:r>
        <w:rPr>
          <w:rFonts w:ascii="Times New Roman" w:hAnsi="Times New Roman"/>
          <w:b w:val="false"/>
          <w:i w:val="false"/>
          <w:color w:val="000000"/>
          <w:sz w:val="22"/>
        </w:rPr>
        <w:t>Residents shall not have access to storage areas for all cleaning agents, bleaches, insecticides, or any other poisonous, dangerous, or flammable materials.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58.31(13)</w:t>
      </w:r>
      <w:r>
        <w:rPr>
          <w:rFonts w:ascii="Times New Roman" w:hAnsi="Times New Roman"/>
          <w:b w:val="false"/>
          <w:i w:val="false"/>
          <w:color w:val="000000"/>
          <w:sz w:val="22"/>
        </w:rPr>
        <w:t> </w:t>
      </w:r>
      <w:r>
        <w:rPr>
          <w:rFonts w:ascii="Times New Roman" w:hAnsi="Times New Roman"/>
          <w:b w:val="false"/>
          <w:i w:val="false"/>
          <w:color w:val="000000"/>
          <w:sz w:val="22"/>
        </w:rPr>
        <w:t>Sufficient numbers of noncombustible trash containers, which have covers, shall be available.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58.31(14)</w:t>
      </w:r>
      <w:r>
        <w:rPr>
          <w:rFonts w:ascii="Times New Roman" w:hAnsi="Times New Roman"/>
          <w:b w:val="false"/>
          <w:i w:val="false"/>
          <w:color w:val="000000"/>
          <w:sz w:val="22"/>
        </w:rPr>
        <w:t> </w:t>
      </w:r>
      <w:r>
        <w:rPr>
          <w:rFonts w:ascii="Times New Roman" w:hAnsi="Times New Roman"/>
          <w:b w:val="false"/>
          <w:i w:val="false"/>
          <w:color w:val="000000"/>
          <w:sz w:val="22"/>
        </w:rPr>
        <w:t>Definite procedures shall be established for training housekeeping 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12/6/06</w:t>
      </w:r>
      <w:r>
        <w:rPr>
          <w:rFonts w:ascii="Times New Roman" w:hAnsi="Times New Roman"/>
          <w:b w:val="false"/>
          <w:i w:val="false"/>
          <w:color w:val="000000"/>
          <w:sz w:val="22"/>
        </w:rPr>
        <w:t>, effective 1/10/07.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58.31(16)</w:t>
      </w:r>
      <w:r>
        <w:rPr>
          <w:rFonts w:ascii="Times New Roman" w:hAnsi="Times New Roman"/>
          <w:b w:val="false"/>
          <w:i w:val="false"/>
          <w:color w:val="000000"/>
          <w:sz w:val="22"/>
        </w:rPr>
        <w:t> </w:t>
      </w:r>
      <w:r>
        <w:rPr>
          <w:rFonts w:ascii="Times New Roman" w:hAnsi="Times New Roman"/>
          <w:b w:val="false"/>
          <w:i w:val="false"/>
          <w:color w:val="000000"/>
          <w:sz w:val="22"/>
        </w:rPr>
        <w:t>There shall be provisions for the cleaning and storage of housekeeping equipment and supplies for each nursing unit.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58.31(17)</w:t>
      </w:r>
      <w:r>
        <w:rPr>
          <w:rFonts w:ascii="Times New Roman" w:hAnsi="Times New Roman"/>
          <w:b w:val="false"/>
          <w:i w:val="false"/>
          <w:color w:val="000000"/>
          <w:sz w:val="22"/>
        </w:rPr>
        <w:t> </w:t>
      </w:r>
      <w:r>
        <w:rPr>
          <w:rFonts w:ascii="Times New Roman" w:hAnsi="Times New Roman"/>
          <w:b w:val="false"/>
          <w:i w:val="false"/>
          <w:color w:val="000000"/>
          <w:sz w:val="22"/>
        </w:rPr>
        <w:t>Bathtubs, shower stalls, or lavatories shall not be used for laundering, cleaning of utensils and mops, or for storage.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58.31(18)</w:t>
      </w:r>
      <w:r>
        <w:rPr>
          <w:rFonts w:ascii="Times New Roman" w:hAnsi="Times New Roman"/>
          <w:b w:val="false"/>
          <w:i w:val="false"/>
          <w:color w:val="000000"/>
          <w:sz w:val="22"/>
        </w:rPr>
        <w:t> </w:t>
      </w:r>
      <w:r>
        <w:rPr>
          <w:rFonts w:ascii="Times New Roman" w:hAnsi="Times New Roman"/>
          <w:b w:val="false"/>
          <w:i w:val="false"/>
          <w:color w:val="000000"/>
          <w:sz w:val="22"/>
        </w:rPr>
        <w:t>Bedside utensils shall be stored in enclosed cabinets.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58.31(19)</w:t>
      </w:r>
      <w:r>
        <w:rPr>
          <w:rFonts w:ascii="Times New Roman" w:hAnsi="Times New Roman"/>
          <w:b w:val="false"/>
          <w:i w:val="false"/>
          <w:color w:val="000000"/>
          <w:sz w:val="22"/>
        </w:rPr>
        <w:t> </w:t>
      </w:r>
      <w:r>
        <w:rPr>
          <w:rFonts w:ascii="Times New Roman" w:hAnsi="Times New Roman"/>
          <w:b w:val="false"/>
          <w:i w:val="false"/>
          <w:color w:val="000000"/>
          <w:sz w:val="22"/>
        </w:rPr>
        <w:t>Kitchen sinks shall not be used for the cleaning of mops, soaking of laundry, cleaning of bedside utensils, nursing utensils, or dumping of wastewater.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58.31(20)</w:t>
      </w:r>
      <w:r>
        <w:rPr>
          <w:rFonts w:ascii="Times New Roman" w:hAnsi="Times New Roman"/>
          <w:b w:val="false"/>
          <w:i w:val="false"/>
          <w:color w:val="000000"/>
          <w:sz w:val="22"/>
        </w:rPr>
        <w:t> </w:t>
      </w:r>
      <w:r>
        <w:rPr>
          <w:rFonts w:ascii="Times New Roman" w:hAnsi="Times New Roman"/>
          <w:b w:val="false"/>
          <w:i w:val="false"/>
          <w:color w:val="000000"/>
          <w:sz w:val="22"/>
        </w:rPr>
        <w:t>Personal possessions of residents which may constitute hazards to themselves or others shall be removed and stored. (III)</w:t>
      </w:r>
    </w:p>
    <w:p>
      <w:pPr>
        <w:pBdr>
          <w:left w:space="1"/>
        </w:pBdr>
        <w:spacing w:before="0" w:after="0"/>
        <w:ind w:left="456"/>
        <w:jc w:val="both"/>
      </w:pPr>
      <w:r>
        <w:rPr>
          <w:rFonts w:ascii="Times New Roman" w:hAnsi="Times New Roman"/>
          <w:b w:val="false"/>
          <w:i w:val="false"/>
          <w:color w:val="000000"/>
          <w:sz w:val="10"/>
        </w:rPr>
        <w:t>*</w:t>
      </w:r>
      <w:r>
        <w:rPr>
          <w:rFonts w:ascii="Times New Roman" w:hAnsi="Times New Roman"/>
          <w:b w:val="false"/>
          <w:i w:val="false"/>
          <w:color w:val="000000"/>
          <w:sz w:val="16"/>
        </w:rPr>
        <w:t xml:space="preserve">Objection. For text of Objection, see IAC Supp., Part I, 9/7/77. For text of Filed rules, </w:t>
      </w:r>
      <w:hyperlink r:id="rId39">
        <w:r>
          <w:rPr>
            <w:rStyle w:val="Hyperlink"/>
            <w:rFonts w:ascii="Times New Roman" w:hAnsi="Times New Roman"/>
            <w:b w:val="false"/>
            <w:i w:val="false"/>
            <w:color w:val="000000"/>
            <w:sz w:val="16"/>
          </w:rPr>
          <w:t>470—Chapter 58</w:t>
        </w:r>
      </w:hyperlink>
      <w:r>
        <w:rPr>
          <w:rFonts w:ascii="Times New Roman" w:hAnsi="Times New Roman"/>
          <w:b w:val="false"/>
          <w:i w:val="false"/>
          <w:color w:val="000000"/>
          <w:sz w:val="16"/>
        </w:rPr>
        <w:t>, see IAC Supp. 10/5/77.</w:t>
      </w:r>
    </w:p>
    <w:p>
      <w:pPr>
        <w:spacing w:before="0" w:after="0"/>
        <w:ind w:left="120"/>
        <w:jc w:val="both"/>
      </w:pPr>
      <w:r>
        <w:rPr>
          <w:rFonts w:ascii="Times New Roman" w:hAnsi="Times New Roman"/>
          <w:b/>
          <w:i w:val="false"/>
          <w:color w:val="000000"/>
          <w:sz w:val="22"/>
        </w:rPr>
        <w:t>481—58.32</w:t>
      </w:r>
      <w:r>
        <w:rPr>
          <w:rFonts w:ascii="Times New Roman" w:hAnsi="Times New Roman"/>
          <w:b/>
          <w:i w:val="false"/>
          <w:color w:val="000000"/>
          <w:sz w:val="22"/>
        </w:rPr>
        <w:t xml:space="preserve">(135C) </w:t>
      </w:r>
      <w:r>
        <w:rPr>
          <w:rFonts w:ascii="Times New Roman" w:hAnsi="Times New Roman"/>
          <w:b/>
          <w:i w:val="false"/>
          <w:color w:val="000000"/>
          <w:sz w:val="22"/>
        </w:rPr>
        <w:t xml:space="preserve">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58.32(1)</w:t>
      </w:r>
      <w:r>
        <w:rPr>
          <w:rFonts w:ascii="Times New Roman" w:hAnsi="Times New Roman"/>
          <w:b w:val="false"/>
          <w:i w:val="false"/>
          <w:color w:val="000000"/>
          <w:sz w:val="22"/>
        </w:rPr>
        <w:t> </w:t>
      </w:r>
      <w:r>
        <w:rPr>
          <w:rFonts w:ascii="Times New Roman" w:hAnsi="Times New Roman"/>
          <w:b w:val="false"/>
          <w:i w:val="false"/>
          <w:color w:val="000000"/>
          <w:sz w:val="22"/>
        </w:rPr>
        <w:t>Each facility shall establish a maintenance program in writing to ensure the continued maintenance of the facility, to promote good housekeeping procedures, and to ensure sanitary practices throughout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58.32(2)</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maintained in a clean, orderly condition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58.32(3)</w:t>
      </w:r>
      <w:r>
        <w:rPr>
          <w:rFonts w:ascii="Times New Roman" w:hAnsi="Times New Roman"/>
          <w:b w:val="false"/>
          <w:i w:val="false"/>
          <w:color w:val="000000"/>
          <w:sz w:val="22"/>
        </w:rPr>
        <w:t> </w:t>
      </w:r>
      <w:r>
        <w:rPr>
          <w:rFonts w:ascii="Times New Roman" w:hAnsi="Times New Roman"/>
          <w:b w:val="false"/>
          <w:i w:val="false"/>
          <w:color w:val="000000"/>
          <w:sz w:val="22"/>
        </w:rPr>
        <w:t>Draperies and furniture shall be clean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58.32(4)</w:t>
      </w:r>
      <w:r>
        <w:rPr>
          <w:rFonts w:ascii="Times New Roman" w:hAnsi="Times New Roman"/>
          <w:b w:val="false"/>
          <w:i w:val="false"/>
          <w:color w:val="000000"/>
          <w:sz w:val="22"/>
        </w:rPr>
        <w:t> </w:t>
      </w:r>
      <w:r>
        <w:rPr>
          <w:rFonts w:ascii="Times New Roman" w:hAnsi="Times New Roman"/>
          <w:b w:val="false"/>
          <w:i w:val="false"/>
          <w:color w:val="000000"/>
          <w:sz w:val="22"/>
        </w:rPr>
        <w:t>Cracks in plaster, peeling wallpaper or paint, and tears or splits in floor coverings shall be promptly repaired or replaced in a professional manner.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58.32(5)</w:t>
      </w:r>
      <w:r>
        <w:rPr>
          <w:rFonts w:ascii="Times New Roman" w:hAnsi="Times New Roman"/>
          <w:b w:val="false"/>
          <w:i w:val="false"/>
          <w:color w:val="000000"/>
          <w:sz w:val="22"/>
        </w:rPr>
        <w:t> </w:t>
      </w:r>
      <w:r>
        <w:rPr>
          <w:rFonts w:ascii="Times New Roman" w:hAnsi="Times New Roman"/>
          <w:b w:val="false"/>
          <w:i w:val="false"/>
          <w:color w:val="000000"/>
          <w:sz w:val="22"/>
        </w:rPr>
        <w:t>The electrical systems, including appliances, cords, and switches, shall be maintained to guarantee safe functioning and comply with the national electrical code.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58.32(6)</w:t>
      </w:r>
      <w:r>
        <w:rPr>
          <w:rFonts w:ascii="Times New Roman" w:hAnsi="Times New Roman"/>
          <w:b w:val="false"/>
          <w:i w:val="false"/>
          <w:color w:val="000000"/>
          <w:sz w:val="22"/>
        </w:rPr>
        <w:t> </w:t>
      </w:r>
      <w:r>
        <w:rPr>
          <w:rFonts w:ascii="Times New Roman" w:hAnsi="Times New Roman"/>
          <w:b w:val="false"/>
          <w:i w:val="false"/>
          <w:color w:val="000000"/>
          <w:sz w:val="22"/>
        </w:rPr>
        <w:t>All plumbing fixtures shall function properly and comply with the state plumbing code.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58.32(7)</w:t>
      </w:r>
      <w:r>
        <w:rPr>
          <w:rFonts w:ascii="Times New Roman" w:hAnsi="Times New Roman"/>
          <w:b w:val="false"/>
          <w:i w:val="false"/>
          <w:color w:val="000000"/>
          <w:sz w:val="22"/>
        </w:rPr>
        <w:t> </w:t>
      </w:r>
      <w:r>
        <w:rPr>
          <w:rFonts w:ascii="Times New Roman" w:hAnsi="Times New Roman"/>
          <w:b w:val="false"/>
          <w:i w:val="false"/>
          <w:color w:val="000000"/>
          <w:sz w:val="22"/>
        </w:rPr>
        <w:t>Yearly inspections of the heating and cooling systems shall be made to guarantee safe operation. Documentation of these inspections shall be available for review.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58.32(8)</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kept free of breeding areas for flies, other insects, and rodents.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58.32(9)</w:t>
      </w:r>
      <w:r>
        <w:rPr>
          <w:rFonts w:ascii="Times New Roman" w:hAnsi="Times New Roman"/>
          <w:b w:val="false"/>
          <w:i w:val="false"/>
          <w:color w:val="000000"/>
          <w:sz w:val="22"/>
        </w:rPr>
        <w:t> </w:t>
      </w:r>
      <w:r>
        <w:rPr>
          <w:rFonts w:ascii="Times New Roman" w:hAnsi="Times New Roman"/>
          <w:b w:val="false"/>
          <w:i w:val="false"/>
          <w:color w:val="000000"/>
          <w:sz w:val="22"/>
        </w:rPr>
        <w:t>The facility shall be kept free of flies, other insects, and rodents.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58.32(10)</w:t>
      </w:r>
      <w:r>
        <w:rPr>
          <w:rFonts w:ascii="Times New Roman" w:hAnsi="Times New Roman"/>
          <w:b w:val="false"/>
          <w:i w:val="false"/>
          <w:color w:val="000000"/>
          <w:sz w:val="22"/>
        </w:rPr>
        <w:t> </w:t>
      </w:r>
      <w:r>
        <w:rPr>
          <w:rFonts w:ascii="Times New Roman" w:hAnsi="Times New Roman"/>
          <w:b w:val="false"/>
          <w:i w:val="false"/>
          <w:color w:val="000000"/>
          <w:sz w:val="22"/>
        </w:rPr>
        <w:t>Maintenance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program shall be established for the orientation of maintenance 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Maintenance personnel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 established written maintenance programs;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provided with appropriate, well-constructed, and properly maintained equipment. (III)</w:t>
      </w:r>
    </w:p>
    <w:p>
      <w:pPr>
        <w:spacing w:before="0" w:after="0"/>
        <w:ind w:left="120"/>
        <w:jc w:val="both"/>
      </w:pPr>
      <w:r>
        <w:rPr>
          <w:rFonts w:ascii="Times New Roman" w:hAnsi="Times New Roman"/>
          <w:b/>
          <w:i w:val="false"/>
          <w:color w:val="000000"/>
          <w:sz w:val="22"/>
        </w:rPr>
        <w:t>481—58.33</w:t>
      </w:r>
      <w:r>
        <w:rPr>
          <w:rFonts w:ascii="Times New Roman" w:hAnsi="Times New Roman"/>
          <w:b/>
          <w:i w:val="false"/>
          <w:color w:val="000000"/>
          <w:sz w:val="22"/>
        </w:rPr>
        <w:t xml:space="preserve">(135C) </w:t>
      </w:r>
      <w:r>
        <w:rPr>
          <w:rFonts w:ascii="Times New Roman" w:hAnsi="Times New Roman"/>
          <w:b/>
          <w:i w:val="false"/>
          <w:color w:val="000000"/>
          <w:sz w:val="22"/>
        </w:rPr>
        <w:t xml:space="preserve">Laundry.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58.33(1)</w:t>
      </w:r>
      <w:r>
        <w:rPr>
          <w:rFonts w:ascii="Times New Roman" w:hAnsi="Times New Roman"/>
          <w:b w:val="false"/>
          <w:i w:val="false"/>
          <w:color w:val="000000"/>
          <w:sz w:val="22"/>
        </w:rPr>
        <w:t> </w:t>
      </w:r>
      <w:r>
        <w:rPr>
          <w:rFonts w:ascii="Times New Roman" w:hAnsi="Times New Roman"/>
          <w:b w:val="false"/>
          <w:i w:val="false"/>
          <w:color w:val="000000"/>
          <w:sz w:val="22"/>
        </w:rPr>
        <w:t>All soiled linens shall be collected in and transported to the laundry room in closed, leakproof laundry bags or covered, impermeable containers.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58.33(2)</w:t>
      </w:r>
      <w:r>
        <w:rPr>
          <w:rFonts w:ascii="Times New Roman" w:hAnsi="Times New Roman"/>
          <w:b w:val="false"/>
          <w:i w:val="false"/>
          <w:color w:val="000000"/>
          <w:sz w:val="22"/>
        </w:rPr>
        <w:t> </w:t>
      </w:r>
      <w:r>
        <w:rPr>
          <w:rFonts w:ascii="Times New Roman" w:hAnsi="Times New Roman"/>
          <w:b w:val="false"/>
          <w:i w:val="false"/>
          <w:color w:val="000000"/>
          <w:sz w:val="22"/>
        </w:rPr>
        <w:t>Except for related activities, the laundry room shall not be used for other purposes.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58.33(3)</w:t>
      </w:r>
      <w:r>
        <w:rPr>
          <w:rFonts w:ascii="Times New Roman" w:hAnsi="Times New Roman"/>
          <w:b w:val="false"/>
          <w:i w:val="false"/>
          <w:color w:val="000000"/>
          <w:sz w:val="22"/>
        </w:rPr>
        <w:t> </w:t>
      </w:r>
      <w:r>
        <w:rPr>
          <w:rFonts w:ascii="Times New Roman" w:hAnsi="Times New Roman"/>
          <w:b w:val="false"/>
          <w:i w:val="false"/>
          <w:color w:val="000000"/>
          <w:sz w:val="22"/>
        </w:rPr>
        <w:t>Procedures shall be written for the proper handling of wet, soiled, and contaminated linens.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58.33(4)</w:t>
      </w:r>
      <w:r>
        <w:rPr>
          <w:rFonts w:ascii="Times New Roman" w:hAnsi="Times New Roman"/>
          <w:b w:val="false"/>
          <w:i w:val="false"/>
          <w:color w:val="000000"/>
          <w:sz w:val="22"/>
        </w:rPr>
        <w:t> </w:t>
      </w:r>
      <w:r>
        <w:rPr>
          <w:rFonts w:ascii="Times New Roman" w:hAnsi="Times New Roman"/>
          <w:b w:val="false"/>
          <w:i w:val="false"/>
          <w:color w:val="000000"/>
          <w:sz w:val="22"/>
        </w:rPr>
        <w:t>Residents’ personal laundry shall be marked with an identification.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58.33(5)</w:t>
      </w:r>
      <w:r>
        <w:rPr>
          <w:rFonts w:ascii="Times New Roman" w:hAnsi="Times New Roman"/>
          <w:b w:val="false"/>
          <w:i w:val="false"/>
          <w:color w:val="000000"/>
          <w:sz w:val="22"/>
        </w:rPr>
        <w:t> </w:t>
      </w:r>
      <w:r>
        <w:rPr>
          <w:rFonts w:ascii="Times New Roman" w:hAnsi="Times New Roman"/>
          <w:b w:val="false"/>
          <w:i w:val="false"/>
          <w:color w:val="000000"/>
          <w:sz w:val="22"/>
        </w:rPr>
        <w:t>Bed linens, towels, and washcloths shall be clean and stain-free. (III)</w:t>
      </w:r>
    </w:p>
    <w:p>
      <w:pPr>
        <w:spacing w:before="0" w:after="0"/>
        <w:ind w:left="120"/>
        <w:jc w:val="both"/>
      </w:pPr>
      <w:r>
        <w:rPr>
          <w:rFonts w:ascii="Times New Roman" w:hAnsi="Times New Roman"/>
          <w:b/>
          <w:i w:val="false"/>
          <w:color w:val="000000"/>
          <w:sz w:val="22"/>
        </w:rPr>
        <w:t>481—58.34</w:t>
      </w:r>
      <w:r>
        <w:rPr>
          <w:rFonts w:ascii="Times New Roman" w:hAnsi="Times New Roman"/>
          <w:b/>
          <w:i w:val="false"/>
          <w:color w:val="000000"/>
          <w:sz w:val="22"/>
        </w:rPr>
        <w:t xml:space="preserve">(135C) </w:t>
      </w:r>
      <w:r>
        <w:rPr>
          <w:rFonts w:ascii="Times New Roman" w:hAnsi="Times New Roman"/>
          <w:b/>
          <w:i w:val="false"/>
          <w:color w:val="000000"/>
          <w:sz w:val="22"/>
        </w:rPr>
        <w:t xml:space="preserve">Garbage and 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58.34(1)</w:t>
      </w:r>
      <w:r>
        <w:rPr>
          <w:rFonts w:ascii="Times New Roman" w:hAnsi="Times New Roman"/>
          <w:b w:val="false"/>
          <w:i w:val="false"/>
          <w:color w:val="000000"/>
          <w:sz w:val="22"/>
        </w:rPr>
        <w:t> </w:t>
      </w:r>
      <w:r>
        <w:rPr>
          <w:rFonts w:ascii="Times New Roman" w:hAnsi="Times New Roman"/>
          <w:b w:val="false"/>
          <w:i w:val="false"/>
          <w:color w:val="000000"/>
          <w:sz w:val="22"/>
        </w:rPr>
        <w:t>All garbage shall be gathered, stored, and disposed of in a manner that will not permit transmission of disease, create a nuisance, or provide a breeding or feeding place for vermin or insects.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58.34(2)</w:t>
      </w:r>
      <w:r>
        <w:rPr>
          <w:rFonts w:ascii="Times New Roman" w:hAnsi="Times New Roman"/>
          <w:b w:val="false"/>
          <w:i w:val="false"/>
          <w:color w:val="000000"/>
          <w:sz w:val="22"/>
        </w:rPr>
        <w:t> </w:t>
      </w:r>
      <w:r>
        <w:rPr>
          <w:rFonts w:ascii="Times New Roman" w:hAnsi="Times New Roman"/>
          <w:b w:val="false"/>
          <w:i w:val="false"/>
          <w:color w:val="000000"/>
          <w:sz w:val="22"/>
        </w:rPr>
        <w:t>All containers for refuse shall be watertight, rodent-proof, and have tight-fitting covers.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58.34(3)</w:t>
      </w:r>
      <w:r>
        <w:rPr>
          <w:rFonts w:ascii="Times New Roman" w:hAnsi="Times New Roman"/>
          <w:b w:val="false"/>
          <w:i w:val="false"/>
          <w:color w:val="000000"/>
          <w:sz w:val="22"/>
        </w:rPr>
        <w:t> </w:t>
      </w:r>
      <w:r>
        <w:rPr>
          <w:rFonts w:ascii="Times New Roman" w:hAnsi="Times New Roman"/>
          <w:b w:val="false"/>
          <w:i w:val="false"/>
          <w:color w:val="000000"/>
          <w:sz w:val="22"/>
        </w:rPr>
        <w:t>All containers shall be thoroughly cleaned each time the containers are emptied.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58.34(4)</w:t>
      </w:r>
      <w:r>
        <w:rPr>
          <w:rFonts w:ascii="Times New Roman" w:hAnsi="Times New Roman"/>
          <w:b w:val="false"/>
          <w:i w:val="false"/>
          <w:color w:val="000000"/>
          <w:sz w:val="22"/>
        </w:rPr>
        <w:t> </w:t>
      </w:r>
      <w:r>
        <w:rPr>
          <w:rFonts w:ascii="Times New Roman" w:hAnsi="Times New Roman"/>
          <w:b w:val="false"/>
          <w:i w:val="false"/>
          <w:color w:val="000000"/>
          <w:sz w:val="22"/>
        </w:rPr>
        <w:t>All wastes shall be properly disposed of in compliance with local ordinances and state codes.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58.34(5)</w:t>
      </w:r>
      <w:r>
        <w:rPr>
          <w:rFonts w:ascii="Times New Roman" w:hAnsi="Times New Roman"/>
          <w:b w:val="false"/>
          <w:i w:val="false"/>
          <w:color w:val="000000"/>
          <w:sz w:val="22"/>
        </w:rPr>
        <w:t> </w:t>
      </w:r>
      <w:r>
        <w:rPr>
          <w:rFonts w:ascii="Times New Roman" w:hAnsi="Times New Roman"/>
          <w:b w:val="false"/>
          <w:i w:val="false"/>
          <w:color w:val="000000"/>
          <w:sz w:val="22"/>
        </w:rPr>
        <w:t>Special provision shall be made for the disposal of soiled dressings and similar items in a safe, sanitary manner. (III)</w:t>
      </w:r>
    </w:p>
    <w:p>
      <w:pPr>
        <w:spacing w:before="0" w:after="0"/>
        <w:ind w:left="120"/>
        <w:jc w:val="both"/>
      </w:pPr>
      <w:r>
        <w:rPr>
          <w:rFonts w:ascii="Times New Roman" w:hAnsi="Times New Roman"/>
          <w:b/>
          <w:i w:val="false"/>
          <w:color w:val="000000"/>
          <w:sz w:val="22"/>
        </w:rPr>
        <w:t>481—58.35</w:t>
      </w:r>
      <w:r>
        <w:rPr>
          <w:rFonts w:ascii="Times New Roman" w:hAnsi="Times New Roman"/>
          <w:b/>
          <w:i w:val="false"/>
          <w:color w:val="000000"/>
          <w:sz w:val="22"/>
        </w:rPr>
        <w:t xml:space="preserve">(135C) </w:t>
      </w:r>
      <w:r>
        <w:rPr>
          <w:rFonts w:ascii="Times New Roman" w:hAnsi="Times New Roman"/>
          <w:b/>
          <w:i w:val="false"/>
          <w:color w:val="000000"/>
          <w:sz w:val="22"/>
        </w:rPr>
        <w:t xml:space="preserve">Buildings, 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58.35(1)</w:t>
      </w:r>
      <w:r>
        <w:rPr>
          <w:rFonts w:ascii="Times New Roman" w:hAnsi="Times New Roman"/>
          <w:b w:val="false"/>
          <w:i w:val="false"/>
          <w:color w:val="000000"/>
          <w:sz w:val="22"/>
        </w:rPr>
        <w:t> </w:t>
      </w:r>
      <w:r>
        <w:rPr>
          <w:rFonts w:ascii="Times New Roman" w:hAnsi="Times New Roman"/>
          <w:b w:val="false"/>
          <w:i/>
          <w:color w:val="000000"/>
          <w:sz w:val="22"/>
        </w:rPr>
        <w:t xml:space="preserve">Buildings—general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computation of usable floor space in bedrooms and other living areas of the facility, that part of the room having no less than seven feet of ceiling height shall be used. Usable floor space may include irregularities in the rooms such as alcoves and offsets with approval of the department. Usable floor space shall not include space needed for corridor door swings or wardrobes being used as a substitute for closet space.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Portable emergency lights in good working condition shall be available at all times, at a ratio of one light per one employee on duty from 6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windows shall be supplied with curtains and shades or drapes which are kept clean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Light fixtures shall be so equipped to prevent glare and to prevent hazards to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Exposed heating pipes, hot water pipes, or radiators in rooms and areas used by residents and within reach of residents shall be covered or protected to prevent injury or burns to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fans located within seven feet of the floor shall be protected by screen guards of not more than one-half-inch mesh.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Whenever glass sliding doors or transparent panels are used, they shall be marked conspicuously.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facility shall meet the equivalent requirements of the appropriate group occupancy of the state building code.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part of any room shall be enclosed, subdivided, or partitioned unless such part is separately lighted and ventilated and meets such other requirements as its usage and occupancy dictates, except closets used for the storage of residents’ clothing.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58.35(2)</w:t>
      </w:r>
      <w:r>
        <w:rPr>
          <w:rFonts w:ascii="Times New Roman" w:hAnsi="Times New Roman"/>
          <w:b w:val="false"/>
          <w:i w:val="false"/>
          <w:color w:val="000000"/>
          <w:sz w:val="22"/>
        </w:rPr>
        <w:t> </w:t>
      </w:r>
      <w:r>
        <w:rPr>
          <w:rFonts w:ascii="Times New Roman" w:hAnsi="Times New Roman"/>
          <w:b w:val="false"/>
          <w:i/>
          <w:color w:val="000000"/>
          <w:sz w:val="22"/>
        </w:rPr>
        <w:t xml:space="preserve">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furnishings and equipment shall be durable, cleanable, and appropriate to its function and in accordance with the department’s approved program of care.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resident areas shall be decorated, painted, and furnished to provide a home-like atmosphere.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Upholstery materials shall be moisture- and soil-resistant, except on furniture provided by the resident and the property of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58.35(3)</w:t>
      </w:r>
      <w:r>
        <w:rPr>
          <w:rFonts w:ascii="Times New Roman" w:hAnsi="Times New Roman"/>
          <w:b w:val="false"/>
          <w:i w:val="false"/>
          <w:color w:val="000000"/>
          <w:sz w:val="22"/>
        </w:rPr>
        <w:t> </w:t>
      </w:r>
      <w:r>
        <w:rPr>
          <w:rFonts w:ascii="Times New Roman" w:hAnsi="Times New Roman"/>
          <w:b w:val="false"/>
          <w:i/>
          <w:color w:val="000000"/>
          <w:sz w:val="22"/>
        </w:rPr>
        <w:t xml:space="preserve">Dining and living 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facility shall have a dining room and a living room easily accessible to all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Dining rooms and living rooms shall at no time be used as bedrooms.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Dining rooms and living rooms shall be available for use by residents at appropriate times to provide periods of social and diversional individual and group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combination dining room and living room may be permitted if the space requirements of a multipurpose room as provided in </w:t>
      </w:r>
      <w:hyperlink r:id="rId40">
        <w:r>
          <w:rPr>
            <w:rStyle w:val="Hyperlink"/>
            <w:rFonts w:ascii="Times New Roman" w:hAnsi="Times New Roman"/>
            <w:b w:val="false"/>
            <w:i w:val="false"/>
            <w:color w:val="000000"/>
            <w:sz w:val="22"/>
          </w:rPr>
          <w:t>58.35(3)</w:t>
        </w:r>
        <w:r>
          <w:rPr>
            <w:rFonts w:ascii="Times New Roman" w:hAnsi="Times New Roman"/>
            <w:b w:val="false"/>
            <w:i/>
            <w:color w:val="000000"/>
            <w:sz w:val="22"/>
          </w:rPr>
          <w:t>“e”</w:t>
        </w:r>
      </w:hyperlink>
      <w:r>
        <w:rPr>
          <w:rFonts w:ascii="Times New Roman" w:hAnsi="Times New Roman"/>
          <w:b w:val="false"/>
          <w:i w:val="false"/>
          <w:color w:val="000000"/>
          <w:sz w:val="22"/>
        </w:rPr>
        <w:t xml:space="preserve"> are met.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Multipurpose rooms. When space is provided for multipurpose dining and activities and recreational purposes, the area shall total at least 30 square feet per licensed bed for the first 100 beds and 27 square feet per licensed bed for all beds in excess of 100. An open area of sufficient size shall be provided to permit group activities such as religious meetings or presentation of demonstrations or entertainment.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Living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Living rooms shall be maintained for the use of residents and their visitors and may be used for recreational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Living rooms shall be suitably provided with parlor furniture, television and radio receivers in good working order, recreational material such as games, puzzles, and cards, and reading material such as current newspapers and magazines. Furnishings and equipment of the room should be such as to allow group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Card tables or game tables shall be made available. The tables should be of a height to allow a person seated in a wheelchair to partake in the games or card playing.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Chairs of proper height and appropriate to their use shall be provided for seating residents at game tables and card tables.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Dining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Dining rooms shall be furnished with dining tables and chairs appropriate to the size and function of the facility. These rooms and furnishings shall be kept clean and sanitary.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Dining tables and chairs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Dining tables should be so constructed that a person seated in a wheelchair can dine comfortably.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Tables shall be of sturdy construction with smooth, durable, nonpermeable tops that can be cleaned with a detergent sanitizing solution.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Dining chairs shall be sturdy and comfortable. Some arm chairs should be provided for ease of movement for some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to eat in the dining room.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58.35(4)</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provided with a standard, single, or twin bed that is substantially constructed and in good repair. Rollaway beds, metal cots, or folding beds are not acceptable. Seventy-five percent of the beds shall have a spring with an adjustable head and foot section. A resident shall have the right to sleep in a chair per the resident’s request and to have the bed removed from the room to allow for additional space.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bed shall be equipped with the following: casters or glides unless a low bed and mattress are being used for fall precautions; a clean, comfortable, well-constructed mattress approximately five inches thick and standard in size for the bed; clean, comfortable pillows of average size; and moisture-proof covers and sheets as necessary to keep the mattress and pillows dry and clean.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resident shall have a bedside table with a drawer to accommodate personal possessions.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comfortable chair, either a rocking chair or armchair, per resident bed. The resident’s personal wishes shall be considered.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drawer space for each resident’s clothing. In a multiple bedroom, drawer space shall be assigned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Walls, ceilings, and floors shall have easily cleanable surfaces and shall be kept clean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Beds and other furnishings shall not obstruct free passage to and through doorways.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Clothing shall be hung in closets or wardrobes available in each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with the head of the bed in front of a window or radiator.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in such a manner that the side of the bed is against the radiator or in close proximity to it unless it is covered so as to protect the resident from contact with it or from excessive heat.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Reading lamps shall be provided each resident in the resident’s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Each room shall have sufficient accessible mirrors to serve the resident’s needs. Mirrors are not required if the room is located in a CCDI unit and the mirrors cause concern for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Sturdy, adjustable overbed tables shall be provided for each resident who is unable to eat in the dining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Each resident bedroom shall have a door. The door shall be the swing type and shall not swing into the corridor.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58.35(5)</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A centralized heating system capable of maintaining a minimum temperature of 78°F (26°C) shall be provided. Portable units or space heaters are prohibited from being used in the facility except as permitted in the governing Life Safety Code or in an emergency. In the event of emergency use, the facility shall provide notice to the state fire marshal’s office within 24 hours.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58.35(6)</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facility shall have an adequate water supply from an approved source. A municipal source of supply shall be considered as meeting this requirement.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Private sources of supply shall be tested annually and the report submitted with the annual application for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bacterially unsafe source of supply shall be grounds for denial, suspension, or revocation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testing of private sources of supply at its discretion in addition to the annual test. The facility shall supply reports of such tests as directed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under pressure shall be available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of a new facility or new water source, private sources of supply shall be surveyed and shall comply with the requirements of the department of health.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58.35(7)</w:t>
      </w:r>
      <w:r>
        <w:rPr>
          <w:rFonts w:ascii="Times New Roman" w:hAnsi="Times New Roman"/>
          <w:b w:val="false"/>
          <w:i w:val="false"/>
          <w:color w:val="000000"/>
          <w:sz w:val="22"/>
        </w:rPr>
        <w:t> </w:t>
      </w:r>
      <w:r>
        <w:rPr>
          <w:rFonts w:ascii="Times New Roman" w:hAnsi="Times New Roman"/>
          <w:b w:val="false"/>
          <w:i/>
          <w:color w:val="000000"/>
          <w:sz w:val="22"/>
        </w:rPr>
        <w:t xml:space="preserve">Nonambulatory 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nonambulatory residents shall be housed on the grade level floor.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provisions in </w:t>
      </w:r>
      <w:r>
        <w:rPr>
          <w:rFonts w:ascii="Times New Roman" w:hAnsi="Times New Roman"/>
          <w:b w:val="false"/>
          <w:i/>
          <w:color w:val="000000"/>
          <w:sz w:val="22"/>
        </w:rPr>
        <w:t>“a”</w:t>
      </w:r>
      <w:r>
        <w:rPr>
          <w:rFonts w:ascii="Times New Roman" w:hAnsi="Times New Roman"/>
          <w:b w:val="false"/>
          <w:i w:val="false"/>
          <w:color w:val="000000"/>
          <w:sz w:val="22"/>
        </w:rPr>
        <w:t xml:space="preserve"> above relating to nonambulatory residents are not applicable if the facility has a suitably sized elevator.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481—58.36</w:t>
      </w:r>
      <w:r>
        <w:rPr>
          <w:rFonts w:ascii="Times New Roman" w:hAnsi="Times New Roman"/>
          <w:b/>
          <w:i w:val="false"/>
          <w:color w:val="000000"/>
          <w:sz w:val="22"/>
        </w:rPr>
        <w:t xml:space="preserve">(135C) </w:t>
      </w:r>
      <w:r>
        <w:rPr>
          <w:rFonts w:ascii="Times New Roman" w:hAnsi="Times New Roman"/>
          <w:b/>
          <w:i w:val="false"/>
          <w:color w:val="000000"/>
          <w:sz w:val="22"/>
        </w:rPr>
        <w:t xml:space="preserve">Family and employee accommodations.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58.36(1)</w:t>
      </w:r>
      <w:r>
        <w:rPr>
          <w:rFonts w:ascii="Times New Roman" w:hAnsi="Times New Roman"/>
          <w:b w:val="false"/>
          <w:i w:val="false"/>
          <w:color w:val="000000"/>
          <w:sz w:val="22"/>
        </w:rPr>
        <w:t> </w:t>
      </w:r>
      <w:r>
        <w:rPr>
          <w:rFonts w:ascii="Times New Roman" w:hAnsi="Times New Roman"/>
          <w:b w:val="false"/>
          <w:i w:val="false"/>
          <w:color w:val="000000"/>
          <w:sz w:val="22"/>
        </w:rPr>
        <w:t>Children under 14 years of age shall not be allowed into the service areas.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58.36(2)</w:t>
      </w:r>
      <w:r>
        <w:rPr>
          <w:rFonts w:ascii="Times New Roman" w:hAnsi="Times New Roman"/>
          <w:b w:val="false"/>
          <w:i w:val="false"/>
          <w:color w:val="000000"/>
          <w:sz w:val="22"/>
        </w:rPr>
        <w:t> </w:t>
      </w:r>
      <w:r>
        <w:rPr>
          <w:rFonts w:ascii="Times New Roman" w:hAnsi="Times New Roman"/>
          <w:b w:val="false"/>
          <w:i w:val="false"/>
          <w:color w:val="000000"/>
          <w:sz w:val="22"/>
        </w:rPr>
        <w:t>The residents’ bedrooms shall not be occupied by employees or family members of the licensee.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58.36(3)</w:t>
      </w:r>
      <w:r>
        <w:rPr>
          <w:rFonts w:ascii="Times New Roman" w:hAnsi="Times New Roman"/>
          <w:b w:val="false"/>
          <w:i w:val="false"/>
          <w:color w:val="000000"/>
          <w:sz w:val="22"/>
        </w:rPr>
        <w:t> </w:t>
      </w:r>
      <w:r>
        <w:rPr>
          <w:rFonts w:ascii="Times New Roman" w:hAnsi="Times New Roman"/>
          <w:b w:val="false"/>
          <w:i w:val="false"/>
          <w:color w:val="000000"/>
          <w:sz w:val="22"/>
        </w:rPr>
        <w:t>In facilities where the total occupancy of family, employees, and residents is five or less, one toilet and one tub or shower shall be the minimum requirement.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58.36(4)</w:t>
      </w:r>
      <w:r>
        <w:rPr>
          <w:rFonts w:ascii="Times New Roman" w:hAnsi="Times New Roman"/>
          <w:b w:val="false"/>
          <w:i w:val="false"/>
          <w:color w:val="000000"/>
          <w:sz w:val="22"/>
        </w:rPr>
        <w:t> </w:t>
      </w:r>
      <w:r>
        <w:rPr>
          <w:rFonts w:ascii="Times New Roman" w:hAnsi="Times New Roman"/>
          <w:b w:val="false"/>
          <w:i w:val="false"/>
          <w:color w:val="000000"/>
          <w:sz w:val="22"/>
        </w:rPr>
        <w:t>In facilities where the total occupancy of family, employees, and residents is more than five, separate bathing and toilet facilities shall be required for the family or employees distinct from such areas provided for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58.36(5)</w:t>
      </w:r>
      <w:r>
        <w:rPr>
          <w:rFonts w:ascii="Times New Roman" w:hAnsi="Times New Roman"/>
          <w:b w:val="false"/>
          <w:i w:val="false"/>
          <w:color w:val="000000"/>
          <w:sz w:val="22"/>
        </w:rPr>
        <w:t> </w:t>
      </w:r>
      <w:r>
        <w:rPr>
          <w:rFonts w:ascii="Times New Roman" w:hAnsi="Times New Roman"/>
          <w:b w:val="false"/>
          <w:i w:val="false"/>
          <w:color w:val="000000"/>
          <w:sz w:val="22"/>
        </w:rPr>
        <w:t>In all health care facilities, if the family or employees live within the facility, separate living quarters and recreation facilities shall be required for the family or employees distinct from such areas provided for residents. (III)</w:t>
      </w:r>
    </w:p>
    <w:p>
      <w:pPr>
        <w:spacing w:before="210" w:after="0"/>
        <w:ind w:left="120"/>
        <w:jc w:val="both"/>
      </w:pPr>
      <w:r>
        <w:rPr>
          <w:rFonts w:ascii="Times New Roman" w:hAnsi="Times New Roman"/>
          <w:b/>
          <w:i w:val="false"/>
          <w:color w:val="000000"/>
          <w:sz w:val="22"/>
        </w:rPr>
        <w:t>481—58.37</w:t>
      </w:r>
      <w:r>
        <w:rPr>
          <w:rFonts w:ascii="Times New Roman" w:hAnsi="Times New Roman"/>
          <w:b/>
          <w:i w:val="false"/>
          <w:color w:val="000000"/>
          <w:sz w:val="22"/>
        </w:rPr>
        <w:t xml:space="preserve">(135C) </w:t>
      </w:r>
      <w:r>
        <w:rPr>
          <w:rFonts w:ascii="Times New Roman" w:hAnsi="Times New Roman"/>
          <w:b/>
          <w:i w:val="false"/>
          <w:color w:val="000000"/>
          <w:sz w:val="22"/>
        </w:rPr>
        <w:t xml:space="preserve">Animals. </w:t>
      </w:r>
      <w:r>
        <w:rPr>
          <w:rFonts w:ascii="Times New Roman" w:hAnsi="Times New Roman"/>
          <w:b w:val="false"/>
          <w:i w:val="false"/>
          <w:color w:val="000000"/>
          <w:sz w:val="22"/>
        </w:rPr>
        <w:t>Animals may be permitted within the facility with prior approval of the department and under controlled conditions. (III)</w:t>
      </w:r>
    </w:p>
    <w:p>
      <w:pPr>
        <w:spacing w:before="0" w:after="0"/>
        <w:ind w:left="120"/>
        <w:jc w:val="both"/>
      </w:pPr>
      <w:r>
        <w:rPr>
          <w:rFonts w:ascii="Times New Roman" w:hAnsi="Times New Roman"/>
          <w:b/>
          <w:i w:val="false"/>
          <w:color w:val="000000"/>
          <w:sz w:val="22"/>
        </w:rPr>
        <w:t>481—58.38</w:t>
      </w:r>
      <w:r>
        <w:rPr>
          <w:rFonts w:ascii="Times New Roman" w:hAnsi="Times New Roman"/>
          <w:b/>
          <w:i w:val="false"/>
          <w:color w:val="000000"/>
          <w:sz w:val="22"/>
        </w:rPr>
        <w:t xml:space="preserve">(135C) </w:t>
      </w:r>
      <w:r>
        <w:rPr>
          <w:rFonts w:ascii="Times New Roman" w:hAnsi="Times New Roman"/>
          <w:b/>
          <w:i w:val="false"/>
          <w:color w:val="000000"/>
          <w:sz w:val="22"/>
        </w:rPr>
        <w:t xml:space="preserve">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58.38(1)</w:t>
      </w:r>
      <w:r>
        <w:rPr>
          <w:rFonts w:ascii="Times New Roman" w:hAnsi="Times New Roman"/>
          <w:b w:val="false"/>
          <w:i w:val="false"/>
          <w:color w:val="000000"/>
          <w:sz w:val="22"/>
        </w:rPr>
        <w:t> </w:t>
      </w:r>
      <w:r>
        <w:rPr>
          <w:rFonts w:ascii="Times New Roman" w:hAnsi="Times New Roman"/>
          <w:b w:val="false"/>
          <w:i/>
          <w:color w:val="000000"/>
          <w:sz w:val="22"/>
        </w:rPr>
        <w:t xml:space="preserve">Linen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an adequate supply of linen so that each resident shall have at least three washcloths, hand towels, and bath towels per week.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 change of bed linens shall be available in the linen storage area for each bed.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Sufficient lightweight, clean, serviceable blankets shall be available. All blankets shall be laundered as often as necessary for cleanliness and freedom from odors.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bed shall be provided with clean, washable bedspreads. There shall be a supply available when changes are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Uncrowded and convenient storage shall be provided for linens, pillows, and bedding.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58.38(2)</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 in every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58.38(3)</w:t>
      </w:r>
      <w:r>
        <w:rPr>
          <w:rFonts w:ascii="Times New Roman" w:hAnsi="Times New Roman"/>
          <w:b w:val="false"/>
          <w:i w:val="false"/>
          <w:color w:val="000000"/>
          <w:sz w:val="22"/>
        </w:rPr>
        <w:t> </w:t>
      </w:r>
      <w:r>
        <w:rPr>
          <w:rFonts w:ascii="Times New Roman" w:hAnsi="Times New Roman"/>
          <w:b w:val="false"/>
          <w:i/>
          <w:color w:val="000000"/>
          <w:sz w:val="22"/>
        </w:rPr>
        <w:t xml:space="preserve">Supplies and equipment for nursing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nursing care equipment shall be properly sanitized or sterilized before use by another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disposable or one-time use items available with provisions for proper disposal to prevent reuse except as allowed by generally accepted infection control standards.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Convenient, safe storage shall be provided for bath and toilet supplies, bathroom scales, mechanical lifts, and shower chairs.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Sanitary and protective storage shall be provided for all equipment and supplies.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items that must be sterilized shall be autoclaved unless sterile disposable items are furnished which are promptly disposed of after a single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Supplies and equipment for nursing and personal care sufficient in quantities to meet the needs of the residents shall be provided.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481—58.39</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Residents’ rights in 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facility shall ensure that policies and procedures are written and implemented which include, at a minimum, all of the following provisions (subrules </w:t>
      </w:r>
      <w:hyperlink r:id="rId41">
        <w:r>
          <w:rPr>
            <w:rStyle w:val="Hyperlink"/>
            <w:rFonts w:ascii="Times New Roman" w:hAnsi="Times New Roman"/>
            <w:b w:val="false"/>
            <w:i w:val="false"/>
            <w:color w:val="000000"/>
            <w:sz w:val="22"/>
          </w:rPr>
          <w:t>58.39(2)</w:t>
        </w:r>
      </w:hyperlink>
      <w:r>
        <w:rPr>
          <w:rFonts w:ascii="Times New Roman" w:hAnsi="Times New Roman"/>
          <w:b w:val="false"/>
          <w:i w:val="false"/>
          <w:color w:val="000000"/>
          <w:sz w:val="22"/>
        </w:rPr>
        <w:t xml:space="preserve"> to </w:t>
      </w:r>
      <w:hyperlink r:id="rId42">
        <w:r>
          <w:rPr>
            <w:rStyle w:val="Hyperlink"/>
            <w:rFonts w:ascii="Times New Roman" w:hAnsi="Times New Roman"/>
            <w:b w:val="false"/>
            <w:i w:val="false"/>
            <w:color w:val="000000"/>
            <w:sz w:val="22"/>
          </w:rPr>
          <w:t>58.39(6)</w:t>
        </w:r>
      </w:hyperlink>
      <w:r>
        <w:rPr>
          <w:rFonts w:ascii="Times New Roman" w:hAnsi="Times New Roman"/>
          <w:b w:val="false"/>
          <w:i w:val="false"/>
          <w:color w:val="000000"/>
          <w:sz w:val="22"/>
        </w:rPr>
        <w:t>) and which govern all areas of service provided by the facility. These policies and procedures shall be available to staff, residents, their families or legal representatives and the public and shall be reviewed annually.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58.39(2)</w:t>
      </w:r>
      <w:r>
        <w:rPr>
          <w:rFonts w:ascii="Times New Roman" w:hAnsi="Times New Roman"/>
          <w:b w:val="false"/>
          <w:i w:val="false"/>
          <w:color w:val="000000"/>
          <w:sz w:val="22"/>
        </w:rPr>
        <w:t> </w:t>
      </w:r>
      <w:r>
        <w:rPr>
          <w:rFonts w:ascii="Times New Roman" w:hAnsi="Times New Roman"/>
          <w:b w:val="false"/>
          <w:i w:val="false"/>
          <w:color w:val="000000"/>
          <w:sz w:val="22"/>
        </w:rPr>
        <w:t xml:space="preserve">Policies and procedures shall address the admission and retention of persons with histories of dangerous or disturbing behavior. For the purposes of the subrule, persons with histories of dangerous or disturbing behavior are those persons who have been found to be seriously mentally impaired pursuant to Iowa Code section </w:t>
      </w:r>
      <w:hyperlink r:id="rId43">
        <w:r>
          <w:rPr>
            <w:rStyle w:val="Hyperlink"/>
            <w:rFonts w:ascii="Times New Roman" w:hAnsi="Times New Roman"/>
            <w:b w:val="false"/>
            <w:i w:val="false"/>
            <w:color w:val="000000"/>
            <w:sz w:val="22"/>
          </w:rPr>
          <w:t>229.13</w:t>
        </w:r>
      </w:hyperlink>
      <w:r>
        <w:rPr>
          <w:rFonts w:ascii="Times New Roman" w:hAnsi="Times New Roman"/>
          <w:b w:val="false"/>
          <w:i w:val="false"/>
          <w:color w:val="000000"/>
          <w:sz w:val="22"/>
        </w:rPr>
        <w:t xml:space="preserve"> within six months of the request for admission to the facility. In addition to establishing the criteria for admission and retention of persons so defined, the policies and procedures shall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Reasonable precautions to prevent the resident from harming self, other residents, or employees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of persons with mental illness as defined in Iowa Code section </w:t>
      </w:r>
      <w:hyperlink r:id="rId44">
        <w:r>
          <w:rPr>
            <w:rStyle w:val="Hyperlink"/>
            <w:rFonts w:ascii="Times New Roman" w:hAnsi="Times New Roman"/>
            <w:b w:val="false"/>
            <w:i w:val="false"/>
            <w:color w:val="000000"/>
            <w:sz w:val="22"/>
          </w:rPr>
          <w:t>229.1(1)</w:t>
        </w:r>
      </w:hyperlink>
      <w:r>
        <w:rPr>
          <w:rFonts w:ascii="Times New Roman" w:hAnsi="Times New Roman"/>
          <w:b w:val="false"/>
          <w:i w:val="false"/>
          <w:color w:val="000000"/>
          <w:sz w:val="22"/>
        </w:rPr>
        <w:t xml:space="preserve"> and which is provided in accordance with the individualized health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Ongoing and documented staff training on individualized health care planning for persons with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58.39(3)</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regarding the admission, transfer, and discharge of residents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those persons are accepted whose needs can be met by the facility directly or in cooperation with community resources or other providers of care with which it is affiliated or has contracts.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changes occur in residents’ physical or mental condition, necessitating services or care which cannot be adequately provided by the facility, they are transferred promptly to other appropriate facilities.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regarding the use of chemical and physical restraints shall define the use of said restraints and identify the individual who may authorize the application of physical restraints in emergencies, and describe the mechanism for monitoring and controlling their 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58.39(5)</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method for submitting complaints and recommendations by residents or their responsible party and for ensuring a response and disposition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58.39(6)</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provisions governing access to, duplication of, and dissemination of information from the residents’ records.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58.39(7)</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provision that each resident shall be fully informed of the resident’s rights and responsibilities as a resident and of all rules governing resident conduct and responsibilities. This information must be provided upon admission, or in the case of residents already in the facility, upon the facility’s adoption or amendment of residents’ rights policies.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make known to residents what they may expect from the facility and its staff, and what is expected from them. The facility shall communicate these expectations during the period of not more than two weeks before or five days after admission. The communication shall be in writing, e.g., in a separate handout or brochure describing the facility, and interpreted verbally, e.g., as part of a preadmission interview, resident counseling, or in individual or group orientation sessions following admission.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the resident. If the facility serves residents who are non-English speaking or deaf or hard of hearing, steps shall be taken to translate the information into a foreign or sign language. In the case of blind residents, either Braille or a recording shall be provided. Residents shall be encouraged to ask questions about their rights and responsibilities and these questions shall be answered.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or the resident’s responsible party, indicating an understanding of these rights and responsibilities, and shall be maintained in the record. The statement shall be signed no later than five days after admission, and a copy of the signed statement shall be given to the resident or responsible party, if applicable. In the case of an intellectually disabled resident, the signature shall be witnessed by a person not associated with or employed by the facility. The witness may be a parent, guardian, Medicaid agency representative, etc.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residents continue to be aware of these rights and responsibilities during their stay, a written copy shall be prominently posted in a location that is available to all residents.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residents shall be advised within 30 days following changes made in the statement of residents’ rights and responsibilities. Appropriate means shall be utilized to inform non-English speaking, deaf or hard-of-hearing, or blind residents of such changes.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58.39(8)</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or responsible party shall be fully informed in a contract as required in rule </w:t>
      </w:r>
      <w:hyperlink r:id="rId45">
        <w:r>
          <w:rPr>
            <w:rStyle w:val="Hyperlink"/>
            <w:rFonts w:ascii="Times New Roman" w:hAnsi="Times New Roman"/>
            <w:b w:val="false"/>
            <w:i w:val="false"/>
            <w:color w:val="000000"/>
            <w:sz w:val="22"/>
          </w:rPr>
          <w:t>481—58.13</w:t>
        </w:r>
      </w:hyperlink>
      <w:r>
        <w:rPr>
          <w:rFonts w:ascii="Times New Roman" w:hAnsi="Times New Roman"/>
          <w:b w:val="false"/>
          <w:i w:val="false"/>
          <w:color w:val="000000"/>
          <w:sz w:val="22"/>
        </w:rPr>
        <w:t>(135C), prior to or at the time of admission and during the resident’s stay, of services available in the facility, and of related charges including any charges for services not covered under the Title XIX program or not covered by the facility’s basic per diem rate.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58.39(9)</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or responsible party shall be fully informed by a physician of the resident’s health and medical condition unless medically contraindicated (as documented by a physician in the resident’s record). Each resident shall be afforded the opportunity to participate in the planning of the resident’s total care and medical treatment, which may include, but is not limited to, nursing care, nutritional care, rehabilitation, restorative therapies, activities, and social work services. Each resident only participates in experimental research conducted under the U.S. Department of Health and Human Services’ protection from research risks policy and then only upon the resident’s informed written consent. Each resident has the right to refuse treatment except as provided by Iowa Code chapter </w:t>
      </w:r>
      <w:hyperlink r:id="rId46">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In the case of a confused or intellectually disabled individual, the responsible party shall be informed by the physician of the resident’s medical condition and be afforded the opportunity to participate in the planning of the resident’s total care and medical treatment, to be informed of the medical condition, and to refuse to participate in experimental research.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 that residents shall be informed of their conditions, involved in the planning of their care, and advised of any significant changes in either shall be communicated to every physician responsible for the medical care of residents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administrator or designee shall be responsible for working with attending physicians in the implementation of this requirement.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physician determines or in the case of a confused or intellectually disabled resident the responsible party determines that informing the resident of the resident’s condition is contraindicated, this decision and reasons for it shall be documented in the resident’s record by the physician.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resident’s plan of care shall be based, in part, on the physician’s orders. It shall be developed upon admission by appropriate facility staff and shall include participation by the resident if capable. Residents shall be advised of alternative courses of care and treatment and their consequences when such alternatives are available. The resident’s preference about alternatives shall be elicited and honored if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clinical investigation involving residents must be under the sponsorship of an institution with a human subjects review board functioning in accordance with the requirements of 45 CFR 46. A resident being considered for participation in experimental research must be fully informed of the nature of the experiment, e.g., medication, treatment, and understand the possible consequences of participating or not participating. The resident’s (or responsible party’s) written informed consent must be received prior to participation. (II)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135C.23(2)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481—58.40</w:t>
      </w:r>
      <w:r>
        <w:rPr>
          <w:rFonts w:ascii="Times New Roman" w:hAnsi="Times New Roman"/>
          <w:b/>
          <w:i w:val="false"/>
          <w:color w:val="000000"/>
          <w:sz w:val="22"/>
        </w:rPr>
        <w:t xml:space="preserve">(135C) </w:t>
      </w:r>
      <w:r>
        <w:rPr>
          <w:rFonts w:ascii="Times New Roman" w:hAnsi="Times New Roman"/>
          <w:b/>
          <w:i w:val="false"/>
          <w:color w:val="000000"/>
          <w:sz w:val="22"/>
        </w:rPr>
        <w:t xml:space="preserve">Involuntary 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welfare or that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contract for the resident’s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4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By reason of negative action by the Iowa department of human services;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By reason of negative action by the quality improvement organization (QIO).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58.40(2)</w:t>
      </w:r>
      <w:r>
        <w:rPr>
          <w:rFonts w:ascii="Times New Roman" w:hAnsi="Times New Roman"/>
          <w:b w:val="false"/>
          <w:i w:val="false"/>
          <w:color w:val="000000"/>
          <w:sz w:val="22"/>
        </w:rPr>
        <w:t> </w:t>
      </w:r>
      <w:r>
        <w:rPr>
          <w:rFonts w:ascii="Times New Roman" w:hAnsi="Times New Roman"/>
          <w:b w:val="false"/>
          <w:i/>
          <w:color w:val="000000"/>
          <w:sz w:val="22"/>
        </w:rPr>
        <w:t xml:space="preserve">Medical reasons. </w:t>
      </w:r>
      <w:r>
        <w:rPr>
          <w:rFonts w:ascii="Times New Roman" w:hAnsi="Times New Roman"/>
          <w:b w:val="false"/>
          <w:i w:val="false"/>
          <w:color w:val="000000"/>
          <w:sz w:val="22"/>
        </w:rPr>
        <w:t>Medical reasons for transfer or discharge shall be based on the resident’s needs and shall be determined and documented in the resident’s record by the primary care provider. Transfer or discharge may be required in order to provide a different level of care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58.40(3)</w:t>
      </w:r>
      <w:r>
        <w:rPr>
          <w:rFonts w:ascii="Times New Roman" w:hAnsi="Times New Roman"/>
          <w:b w:val="false"/>
          <w:i w:val="false"/>
          <w:color w:val="000000"/>
          <w:sz w:val="22"/>
        </w:rPr>
        <w:t> </w:t>
      </w:r>
      <w:r>
        <w:rPr>
          <w:rFonts w:ascii="Times New Roman" w:hAnsi="Times New Roman"/>
          <w:b w:val="false"/>
          <w:i/>
          <w:color w:val="000000"/>
          <w:sz w:val="22"/>
        </w:rPr>
        <w:t xml:space="preserve">Welfare of a resident. </w:t>
      </w:r>
      <w:r>
        <w:rPr>
          <w:rFonts w:ascii="Times New Roman" w:hAnsi="Times New Roman"/>
          <w:b w:val="false"/>
          <w:i w:val="false"/>
          <w:color w:val="000000"/>
          <w:sz w:val="22"/>
        </w:rPr>
        <w:t>Welfare of a resident or that of other residents refers to a resident’s social, emotional, or physical well-being. A resident may be transferred or discharged because the resident’s behavior poses a continuing threat to the resident (e.g., suicidal) or to the well-being of other residents or staff (e.g., the resident’s behavior is incompatible with other residents’ needs and rights). Written documentation that the resident’s continued presence in the facility would adversely affect the resident’s own welfare or that of other residents shall be made by the administrator or designee and shall include specific information to support this determination.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58.40(4)</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prohibited—payment source. </w:t>
      </w:r>
      <w:r>
        <w:rPr>
          <w:rFonts w:ascii="Times New Roman" w:hAnsi="Times New Roman"/>
          <w:b w:val="false"/>
          <w:i w:val="false"/>
          <w:color w:val="000000"/>
          <w:sz w:val="22"/>
        </w:rPr>
        <w:t xml:space="preserve">A resident shall not be transferred or discharged solely because the cost of the resident’s care is being paid under Iowa Code chapter </w:t>
      </w:r>
      <w:hyperlink r:id="rId4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because the resident’s source of payment is changing from private support to payment under Iowa Code chapter </w:t>
      </w:r>
      <w:hyperlink r:id="rId5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58.40(5)</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Involuntary transfer or discharge of a resident from a facility shall be preceded by a written notice to the resident and the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3315"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 xml:space="preserve">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and you will not be transferred before a final decision is rendered. Extension of the 14-day requirement may be permitted in emergency circumstances upon request to the department’s designee. If you lose the hearing, you will not be transferred before the expiration of either (1) 30 days following your receipt of the original notice of the discharge or transfer, or (2) 5 days following final decision of such hearing, including the exhaustion of all appeals, whichever occurs later. To request a hearing or receive further information, call the department at (515)281-4115, or write to the department to the attention of: Administrator, Division of Health Facilities, Department of Inspections and Appeals, Lucas State Office Building, Des Moines, Iowa 50319-0083.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office of the long-term care ombudsman.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paragraph </w:t>
      </w:r>
      <w:hyperlink r:id="rId51">
        <w:r>
          <w:rPr>
            <w:rStyle w:val="Hyperlink"/>
            <w:rFonts w:ascii="Times New Roman" w:hAnsi="Times New Roman"/>
            <w:b w:val="false"/>
            <w:i w:val="false"/>
            <w:color w:val="000000"/>
            <w:sz w:val="22"/>
          </w:rPr>
          <w:t>58.40(5)</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from the resident being transferred.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responsible party, and notification is given to the responsible party, the resident’s primary care provider, and the person or agency responsible for the resident’s placement, maintenance, and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discharge or transfer is the result of a final, nonappealable decision by the department of human services or the QIO.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52">
        <w:r>
          <w:rPr>
            <w:rStyle w:val="Hyperlink"/>
            <w:rFonts w:ascii="Times New Roman" w:hAnsi="Times New Roman"/>
            <w:b w:val="false"/>
            <w:i w:val="false"/>
            <w:color w:val="000000"/>
            <w:sz w:val="22"/>
          </w:rPr>
          <w:t>58.40(7)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58.40(6)</w:t>
      </w:r>
      <w:r>
        <w:rPr>
          <w:rFonts w:ascii="Times New Roman" w:hAnsi="Times New Roman"/>
          <w:b w:val="false"/>
          <w:i w:val="false"/>
          <w:color w:val="000000"/>
          <w:sz w:val="22"/>
        </w:rPr>
        <w:t> </w:t>
      </w:r>
      <w:r>
        <w:rPr>
          <w:rFonts w:ascii="Times New Roman" w:hAnsi="Times New Roman"/>
          <w:b w:val="false"/>
          <w:i/>
          <w:color w:val="000000"/>
          <w:sz w:val="22"/>
        </w:rPr>
        <w:t xml:space="preserv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the transfer or discharge.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notice shall be placed in the resident’s file. 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610"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 xml:space="preserve">You have a right to appeal the facility’s decision to transfer or discharge you on an emergency basis.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office of the long-term care ombudsman.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53">
        <w:r>
          <w:rPr>
            <w:rStyle w:val="Hyperlink"/>
            <w:rFonts w:ascii="Times New Roman" w:hAnsi="Times New Roman"/>
            <w:b w:val="false"/>
            <w:i w:val="false"/>
            <w:color w:val="000000"/>
            <w:sz w:val="22"/>
          </w:rPr>
          <w:t>58.40(7)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58.40(7)</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receipt of the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the department’s receipt of the request unless either party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5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The hearing shall be public unless the resident or resident’s legal representative requests in writing that the hearing be closed. In a determination as to whether a transfer or discharge is authorized, the burden of proof by a preponderance of the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the responsible party, and the office of the long-term care ombudsman not later than 5 full business days after the department’s receipt of the request. The notice shall also inform the facility and the resident or the responsible party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 The office of the long-term care ombudsman shall have the right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mailed by certified mail to the facility, resident, responsible party, and the office of the long-term care ombudsman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basis for an involuntary transfer or discharge is the result of a negative action by the Iowa department of human services or the QIO, an appeal shall be filed with those agencies as appropriate. Continued payment shall be consistent with rules of those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58.40(8)</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58.40(9)</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responsible party,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subrule </w:t>
      </w:r>
      <w:hyperlink r:id="rId56">
        <w:r>
          <w:rPr>
            <w:rStyle w:val="Hyperlink"/>
            <w:rFonts w:ascii="Times New Roman" w:hAnsi="Times New Roman"/>
            <w:b w:val="false"/>
            <w:i w:val="false"/>
            <w:color w:val="000000"/>
            <w:sz w:val="22"/>
          </w:rPr>
          <w:t>58.40(6)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58.40(10)</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the possible adverse effects of the involuntary transfer, the resident shall receive counseling services by the sending facility before the involuntary transfer and by the receiving facility after the involuntary transfer.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paragraph </w:t>
      </w:r>
      <w:hyperlink r:id="rId57">
        <w:r>
          <w:rPr>
            <w:rStyle w:val="Hyperlink"/>
            <w:rFonts w:ascii="Times New Roman" w:hAnsi="Times New Roman"/>
            <w:b w:val="false"/>
            <w:i w:val="false"/>
            <w:color w:val="000000"/>
            <w:sz w:val="22"/>
          </w:rPr>
          <w:t>58.40(10)</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58">
        <w:r>
          <w:rPr>
            <w:rStyle w:val="Hyperlink"/>
            <w:rFonts w:ascii="Times New Roman" w:hAnsi="Times New Roman"/>
            <w:b w:val="false"/>
            <w:i w:val="false"/>
            <w:color w:val="000000"/>
            <w:sz w:val="22"/>
          </w:rPr>
          <w:t>58.40(6)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Counseling, if required, shall be provided by a licensed mental health professional as defined in Iowa Code section </w:t>
      </w:r>
      <w:hyperlink r:id="rId59">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health care facility that receives a resident who has been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58.40(11)</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60 days must be allowed for an orderly transfer of residents to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58.40(12)</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arbitrarily relocated from room to room within a licensed health care facility. (I, II) Involuntary relocation may occur only in the following situations, which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Resident’s incompatibility with or disturbance to other roommates.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welfare of the resident or other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medical, nursing or psychosocial reasons, as judged by the primary care provider, nurse or social worker in the case of a facility which groups residents by medical, nursing or psychosocial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that would otherwise not be possible due to separation of roommates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whose source of payment was previously private, but who now is eligible for Title XIX (Medicaid) assistance, the resident may be transferred from a private room to a semiprivate room or from one semiprivate room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responsible party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from private pay status to Title XIX, except as outlined in subparagraph </w:t>
      </w:r>
      <w:hyperlink r:id="rId60">
        <w:r>
          <w:rPr>
            <w:rStyle w:val="Hyperlink"/>
            <w:rFonts w:ascii="Times New Roman" w:hAnsi="Times New Roman"/>
            <w:b w:val="false"/>
            <w:i w:val="false"/>
            <w:color w:val="000000"/>
            <w:sz w:val="22"/>
          </w:rPr>
          <w:t>58.40(12)</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punishment or behavior modification, except as specified in subparagraph </w:t>
      </w:r>
      <w:hyperlink r:id="rId61">
        <w:r>
          <w:rPr>
            <w:rStyle w:val="Hyperlink"/>
            <w:rFonts w:ascii="Times New Roman" w:hAnsi="Times New Roman"/>
            <w:b w:val="false"/>
            <w:i w:val="false"/>
            <w:color w:val="000000"/>
            <w:sz w:val="22"/>
          </w:rPr>
          <w:t>58.40(12)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paragraph </w:t>
      </w:r>
      <w:hyperlink r:id="rId62">
        <w:r>
          <w:rPr>
            <w:rStyle w:val="Hyperlink"/>
            <w:rFonts w:ascii="Times New Roman" w:hAnsi="Times New Roman"/>
            <w:b w:val="false"/>
            <w:i w:val="false"/>
            <w:color w:val="000000"/>
            <w:sz w:val="22"/>
          </w:rPr>
          <w:t>58.40(12)</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resident shall be notified at least 48 hours prior to the transfer and the reason therefor shall be explained. The responsible party shall be notified as soon as possible. The notification shall be documented in the resident’s record and signed by the resident or responsible party.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in order to protect the safety or health of the resident or other residents, the notification requirements may be waived. The conditions of the emergency shall be documented. The family or responsible party shall be notified immediately or as soon as possible of the condition that necessitates emergency relocation, and such notification shall be documented.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481—58.41</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Residents’ rights. </w:t>
      </w:r>
      <w:r>
        <w:rPr>
          <w:rFonts w:ascii="Times New Roman" w:hAnsi="Times New Roman"/>
          <w:b w:val="false"/>
          <w:i w:val="false"/>
          <w:color w:val="000000"/>
          <w:sz w:val="22"/>
        </w:rPr>
        <w:t>Each resident shall be encouraged and assisted throughout the resident’s period of stay, to exercise rights as a resident and as a citizen and may voice grievances and recommend changes in policies and services to administrative staff or to outside representatives of the resident’s choice, free from interference, coercion, discrimination, or reprisal.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58.41(1)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ongoing opportunities for residents to be aware of and to exercise their rights as residents. Residents shall be kept informed of issues or pending decisions of the facility that affect them and their views shall be solicited prior to action.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58.41(2)</w:t>
      </w:r>
      <w:r>
        <w:rPr>
          <w:rFonts w:ascii="Times New Roman" w:hAnsi="Times New Roman"/>
          <w:b w:val="false"/>
          <w:i w:val="false"/>
          <w:color w:val="000000"/>
          <w:sz w:val="22"/>
        </w:rPr>
        <w:t> </w:t>
      </w:r>
      <w:r>
        <w:rPr>
          <w:rFonts w:ascii="Times New Roman" w:hAnsi="Times New Roman"/>
          <w:b w:val="false"/>
          <w:i w:val="false"/>
          <w:color w:val="000000"/>
          <w:sz w:val="22"/>
        </w:rPr>
        <w:t>The facility shall implement a written procedure for registering and resolving grievances and recommendations by residents or their responsible party. The procedure shall ensure protection of the resident from any form of reprisal or intimidation. The written procedure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Designation of an employee responsible for handling grievances and recommendations.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method of investigating and assessing the validity of a grievance or recommendation.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Methods of resolving grievances.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of recording grievances and actions taken.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post in a prominent area the name, telephone number, and address of the ombudsman, survey agency, local law enforcement agency, and certified volunteer long-term care ombudsman and the text of Iowa Code section </w:t>
      </w:r>
      <w:hyperlink r:id="rId63">
        <w:r>
          <w:rPr>
            <w:rStyle w:val="Hyperlink"/>
            <w:rFonts w:ascii="Times New Roman" w:hAnsi="Times New Roman"/>
            <w:b w:val="false"/>
            <w:i w:val="false"/>
            <w:color w:val="000000"/>
            <w:sz w:val="22"/>
          </w:rPr>
          <w:t>135C.46</w:t>
        </w:r>
      </w:hyperlink>
      <w:r>
        <w:rPr>
          <w:rFonts w:ascii="Times New Roman" w:hAnsi="Times New Roman"/>
          <w:b w:val="false"/>
          <w:i w:val="false"/>
          <w:color w:val="000000"/>
          <w:sz w:val="22"/>
        </w:rPr>
        <w:t xml:space="preserve"> to provide to residents a further course of redress.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481—58.42</w:t>
      </w:r>
      <w:r>
        <w:rPr>
          <w:rFonts w:ascii="Times New Roman" w:hAnsi="Times New Roman"/>
          <w:b/>
          <w:i w:val="false"/>
          <w:color w:val="000000"/>
          <w:sz w:val="22"/>
        </w:rPr>
        <w:t xml:space="preserve">(135C) </w:t>
      </w:r>
      <w:r>
        <w:rPr>
          <w:rFonts w:ascii="Times New Roman" w:hAnsi="Times New Roman"/>
          <w:b/>
          <w:i w:val="false"/>
          <w:color w:val="000000"/>
          <w:sz w:val="22"/>
        </w:rPr>
        <w:t xml:space="preserve">Financial affairs—management. </w:t>
      </w:r>
      <w:r>
        <w:rPr>
          <w:rFonts w:ascii="Times New Roman" w:hAnsi="Times New Roman"/>
          <w:b w:val="false"/>
          <w:i w:val="false"/>
          <w:color w:val="000000"/>
          <w:sz w:val="22"/>
        </w:rPr>
        <w:t xml:space="preserve">Each resident who has not been assigned a guardian or conservator by the court may manage the resident’s own personal financial affairs, and to the extent, under written authorization by the resident that the facility assists in management, the management shall be carried out in accordance with Iowa Code section </w:t>
      </w:r>
      <w:hyperlink r:id="rId64">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58.42(1)</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written account of all residents’ funds received by or deposited with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58.42(2)</w:t>
      </w:r>
      <w:r>
        <w:rPr>
          <w:rFonts w:ascii="Times New Roman" w:hAnsi="Times New Roman"/>
          <w:b w:val="false"/>
          <w:i w:val="false"/>
          <w:color w:val="000000"/>
          <w:sz w:val="22"/>
        </w:rPr>
        <w:t> </w:t>
      </w:r>
      <w:r>
        <w:rPr>
          <w:rFonts w:ascii="Times New Roman" w:hAnsi="Times New Roman"/>
          <w:b w:val="false"/>
          <w:i w:val="false"/>
          <w:color w:val="000000"/>
          <w:sz w:val="22"/>
        </w:rPr>
        <w:t>An employee shall be designated in writing to be responsible for resident accounts.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keep on deposit personal funds over which the resident has control in accordance with Iowa Code section </w:t>
      </w:r>
      <w:hyperlink r:id="rId65">
        <w:r>
          <w:rPr>
            <w:rStyle w:val="Hyperlink"/>
            <w:rFonts w:ascii="Times New Roman" w:hAnsi="Times New Roman"/>
            <w:b w:val="false"/>
            <w:i w:val="false"/>
            <w:color w:val="000000"/>
            <w:sz w:val="22"/>
          </w:rPr>
          <w:t>135C.24(2)</w:t>
        </w:r>
      </w:hyperlink>
      <w:r>
        <w:rPr>
          <w:rFonts w:ascii="Times New Roman" w:hAnsi="Times New Roman"/>
          <w:b w:val="false"/>
          <w:i w:val="false"/>
          <w:color w:val="000000"/>
          <w:sz w:val="22"/>
        </w:rPr>
        <w:t>. Should the resident request these funds, they shall be given to the resident on request with receipts maintained by the facility and a copy to the resident. In the case of a confused or intellectually disabled resident, the resident’s responsible party shall designate a method of disbursing the resident’s funds.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58.42(4)</w:t>
      </w:r>
      <w:r>
        <w:rPr>
          <w:rFonts w:ascii="Times New Roman" w:hAnsi="Times New Roman"/>
          <w:b w:val="false"/>
          <w:i w:val="false"/>
          <w:color w:val="000000"/>
          <w:sz w:val="22"/>
        </w:rPr>
        <w:t> </w:t>
      </w:r>
      <w:r>
        <w:rPr>
          <w:rFonts w:ascii="Times New Roman" w:hAnsi="Times New Roman"/>
          <w:b w:val="false"/>
          <w:i w:val="false"/>
          <w:color w:val="000000"/>
          <w:sz w:val="22"/>
        </w:rPr>
        <w:t>If the facility makes financial transactions on a resident’s behalf, the resident must receive or acknowledge that the resident has seen an itemized accounting of disbursements and current balances at least quarterly. A copy of this statement shall be maintained in the resident’s financial or business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58.42(5)</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not be used without the written consent of the resident or the resident’s guardian.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58.42(6)</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be returned to the resident when the funds have been used without the written consent of the resident or the resident’s guardian. The department may report findings that resident funds have been used without written consent to the audits division or the local law enforcement agency, as appropriate.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481—58.43</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abuse prohibited. </w:t>
      </w:r>
      <w:r>
        <w:rPr>
          <w:rFonts w:ascii="Times New Roman" w:hAnsi="Times New Roman"/>
          <w:b w:val="false"/>
          <w:i w:val="false"/>
          <w:color w:val="000000"/>
          <w:sz w:val="22"/>
        </w:rPr>
        <w:t>Each resident shall receive kind and considerate care at all times and shall be free from mental, physical, sexual, and verbal abuse, exploitation, neglect, and physical injury. Each resident shall be free from chemical and physical restraints except as follows: when authorized in writing by a physician for a specified period of time; when necessary in an emergency to protect the resident from injury to the resident or to others, in which case restraints may be authorized by designated professional personnel who promptly report the action taken to the physician; and in the case of an intellectually disabled individual when ordered in writing by a physician and authorized by a designated qualified intellectual disabilities professional for use during behavior modification sessions. Mechanical supports used in normative situations to achieve proper body position and balance shall not be considered to be a restraint.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58.43(1)</w:t>
      </w:r>
      <w:r>
        <w:rPr>
          <w:rFonts w:ascii="Times New Roman" w:hAnsi="Times New Roman"/>
          <w:b w:val="false"/>
          <w:i w:val="false"/>
          <w:color w:val="000000"/>
          <w:sz w:val="22"/>
        </w:rPr>
        <w:t> </w:t>
      </w:r>
      <w:r>
        <w:rPr>
          <w:rFonts w:ascii="Times New Roman" w:hAnsi="Times New Roman"/>
          <w:b w:val="false"/>
          <w:i w:val="false"/>
          <w:color w:val="000000"/>
          <w:sz w:val="22"/>
        </w:rPr>
        <w:t>Mental abuse includes, but is not limited to, humiliation, harassment, and threats of punishment or deprivation.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58.43(2)</w:t>
      </w:r>
      <w:r>
        <w:rPr>
          <w:rFonts w:ascii="Times New Roman" w:hAnsi="Times New Roman"/>
          <w:b w:val="false"/>
          <w:i w:val="false"/>
          <w:color w:val="000000"/>
          <w:sz w:val="22"/>
        </w:rPr>
        <w:t> </w:t>
      </w:r>
      <w:r>
        <w:rPr>
          <w:rFonts w:ascii="Times New Roman" w:hAnsi="Times New Roman"/>
          <w:b w:val="false"/>
          <w:i w:val="false"/>
          <w:color w:val="000000"/>
          <w:sz w:val="22"/>
        </w:rPr>
        <w:t>Physical abuse includes, but is not limited to, corporal punishment and the use of restraints as punishment.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58.43(3)</w:t>
      </w:r>
      <w:r>
        <w:rPr>
          <w:rFonts w:ascii="Times New Roman" w:hAnsi="Times New Roman"/>
          <w:b w:val="false"/>
          <w:i w:val="false"/>
          <w:color w:val="000000"/>
          <w:sz w:val="22"/>
        </w:rPr>
        <w:t> </w:t>
      </w:r>
      <w:r>
        <w:rPr>
          <w:rFonts w:ascii="Times New Roman" w:hAnsi="Times New Roman"/>
          <w:b w:val="false"/>
          <w:i w:val="false"/>
          <w:color w:val="000000"/>
          <w:sz w:val="22"/>
        </w:rPr>
        <w:t>Drugs such as tranquilizers may not be used as chemical restraints to limit or control resident behavior for the convenience of staff.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58.43(4)</w:t>
      </w:r>
      <w:r>
        <w:rPr>
          <w:rFonts w:ascii="Times New Roman" w:hAnsi="Times New Roman"/>
          <w:b w:val="false"/>
          <w:i w:val="false"/>
          <w:color w:val="000000"/>
          <w:sz w:val="22"/>
        </w:rPr>
        <w:t> </w:t>
      </w:r>
      <w:r>
        <w:rPr>
          <w:rFonts w:ascii="Times New Roman" w:hAnsi="Times New Roman"/>
          <w:b w:val="false"/>
          <w:i w:val="false"/>
          <w:color w:val="000000"/>
          <w:sz w:val="22"/>
        </w:rPr>
        <w:t>Physicians’ orders are required to utilize all types of physical restraints and shall be renewed at least quarterly. (II) Physical restraints are defined as the following:</w:t>
      </w:r>
    </w:p>
    <w:p>
      <w:pPr>
        <w:spacing w:before="0" w:after="0"/>
        <w:ind w:left="120"/>
        <w:jc w:val="both"/>
      </w:pPr>
      <w:r>
        <w:rPr>
          <w:rFonts w:ascii="Times New Roman" w:hAnsi="Times New Roman"/>
          <w:b w:val="false"/>
          <w:i w:val="false"/>
          <w:color w:val="000000"/>
          <w:sz w:val="22"/>
        </w:rPr>
        <w:t>Type I—the equipment used to promote the safety of the individual but is not applied directly to their person. Examples: divided doors and totally enclosed cribs.</w:t>
      </w:r>
    </w:p>
    <w:p>
      <w:pPr>
        <w:spacing w:before="0" w:after="0"/>
        <w:ind w:left="120"/>
        <w:jc w:val="both"/>
      </w:pPr>
      <w:r>
        <w:rPr>
          <w:rFonts w:ascii="Times New Roman" w:hAnsi="Times New Roman"/>
          <w:b w:val="false"/>
          <w:i w:val="false"/>
          <w:color w:val="000000"/>
          <w:sz w:val="22"/>
        </w:rPr>
        <w:t>Type II—the application of a device to the body to promote safety of the individual. Examples: vest devices, soft-tie devices, hand socks, geriatric chairs.</w:t>
      </w:r>
    </w:p>
    <w:p>
      <w:pPr>
        <w:spacing w:before="0" w:after="0"/>
        <w:ind w:left="120"/>
        <w:jc w:val="both"/>
      </w:pPr>
      <w:r>
        <w:rPr>
          <w:rFonts w:ascii="Times New Roman" w:hAnsi="Times New Roman"/>
          <w:b w:val="false"/>
          <w:i w:val="false"/>
          <w:color w:val="000000"/>
          <w:sz w:val="22"/>
        </w:rPr>
        <w:t>Type III—the application of a device to any part of the body which will inhibit the movement of that part of the body only. Examples: wrist, ankle or leg restraints and waist straps.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58.43(5)</w:t>
      </w:r>
      <w:r>
        <w:rPr>
          <w:rFonts w:ascii="Times New Roman" w:hAnsi="Times New Roman"/>
          <w:b w:val="false"/>
          <w:i w:val="false"/>
          <w:color w:val="000000"/>
          <w:sz w:val="22"/>
        </w:rPr>
        <w:t> </w:t>
      </w:r>
      <w:r>
        <w:rPr>
          <w:rFonts w:ascii="Times New Roman" w:hAnsi="Times New Roman"/>
          <w:b w:val="false"/>
          <w:i w:val="false"/>
          <w:color w:val="000000"/>
          <w:sz w:val="22"/>
        </w:rPr>
        <w:t>Physical restraints are not to be used to limit resident mobility for the convenience of staff and must comply with life safety requirements. If a resident’s behavior is such that it may result in injury to the resident or others and any form of physical restraint is utilized, it should be in conjunction with a treatment procedure(s) designed to modify the behavioral problems for which the resident is restrained, or as a last resort, after failure of attempted therapy.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58.43(6)</w:t>
      </w:r>
      <w:r>
        <w:rPr>
          <w:rFonts w:ascii="Times New Roman" w:hAnsi="Times New Roman"/>
          <w:b w:val="false"/>
          <w:i w:val="false"/>
          <w:color w:val="000000"/>
          <w:sz w:val="22"/>
        </w:rPr>
        <w:t> </w:t>
      </w:r>
      <w:r>
        <w:rPr>
          <w:rFonts w:ascii="Times New Roman" w:hAnsi="Times New Roman"/>
          <w:b w:val="false"/>
          <w:i w:val="false"/>
          <w:color w:val="000000"/>
          <w:sz w:val="22"/>
        </w:rPr>
        <w:t>Each time a Type II or III restraint is used documentation on the nurse’s progress record shall be made which includes type of restraint and reasons for the restraint and length of time resident was restrained. The documentation of the use of Type III restraint shall also include the time of position change.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58.43(7)</w:t>
      </w:r>
      <w:r>
        <w:rPr>
          <w:rFonts w:ascii="Times New Roman" w:hAnsi="Times New Roman"/>
          <w:b w:val="false"/>
          <w:i w:val="false"/>
          <w:color w:val="000000"/>
          <w:sz w:val="22"/>
        </w:rPr>
        <w:t> </w:t>
      </w:r>
      <w:r>
        <w:rPr>
          <w:rFonts w:ascii="Times New Roman" w:hAnsi="Times New Roman"/>
          <w:b w:val="false"/>
          <w:i w:val="false"/>
          <w:color w:val="000000"/>
          <w:sz w:val="22"/>
        </w:rPr>
        <w:t>Each facility shall implement written policies and procedures governing the use of restraints which clearly delineate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orders shall indicate the specific reasons for the use of restraints.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Their use is temporary and the resident will not be restrained for an indefinite amount of time.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qualified nurse shall make the decision for the use of a Type II or Type III restraint for which there shall be a physician’s order.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 placed in a Type II or III restraint shall be checked at least every 30 minutes by appropriately trained staff. No form of restraint shall be used or applied in such a manner as to cause injury or the potential for injury and provide a minimum of discomfort to resident restrained.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Reorders are issued only after the attending physician reviews the resident’s condition.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Their use is not employed as punishment, for the convenience of the staff, or as a substitute for supervision or program.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opportunity for motion and exercise shall be provided for a period of not less than ten minutes during each two hours in which Type II and Type III restraints are employed, except when resident is sleeping. However, when resident awakens, this shall be provided. This shall be documented each time. A check sheet may serve this purpose.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Locked restraints or leather restraints shall not be permitted except in life-threatening situations. Straight jackets and secluding residents behind locked doors shall not be employed.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Nursing assessment of the resident’s need for continued application of a Type III restraint shall be made every 12 hours and documented on the nurse’s progress record. Documentation shall include the type of restraint, reason for the restraint and the circumstances. Nursing assessment of the resident’s need for continued application of either a Type I or Type II restraint and nursing evaluation of the resident’s physical and mental condition shall be made every 30 days and documented on the nurse’s progress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Divided doors shall be of the type that when the upper half is closed the lower section shall close.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Methods of restraint shall permit rapid removal of the resident in the event of fire or other emergency.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orientation and ongoing education programs in the proper use of restraints.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58.43(8)</w:t>
      </w:r>
      <w:r>
        <w:rPr>
          <w:rFonts w:ascii="Times New Roman" w:hAnsi="Times New Roman"/>
          <w:b w:val="false"/>
          <w:i w:val="false"/>
          <w:color w:val="000000"/>
          <w:sz w:val="22"/>
        </w:rPr>
        <w:t> </w:t>
      </w:r>
      <w:r>
        <w:rPr>
          <w:rFonts w:ascii="Times New Roman" w:hAnsi="Times New Roman"/>
          <w:b w:val="false"/>
          <w:i w:val="false"/>
          <w:color w:val="000000"/>
          <w:sz w:val="22"/>
        </w:rPr>
        <w:t>In the case of an intellectually disabled individual who participates in a behavior modification program involving use of restraints or aversive stimuli, the program shall be conducted only with the informed consent of the individual’s parent or responsible party. Where restraints are employed, an individualized program shall be developed by the interdisciplinary team with specific methodologies for monitoring its progress.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resident’s responsible party shall receive a written account of the proposed plan of the use of restraints or aversive stimuli and have an opportunity to discuss the proposal with a representative(s) of the treatment team.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responsible party must consent in writing prior to the use of the procedure. Consent may also be withdrawn in writing.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58.43(9)</w:t>
      </w:r>
      <w:r>
        <w:rPr>
          <w:rFonts w:ascii="Times New Roman" w:hAnsi="Times New Roman"/>
          <w:b w:val="false"/>
          <w:i w:val="false"/>
          <w:color w:val="000000"/>
          <w:sz w:val="22"/>
        </w:rPr>
        <w:t> </w:t>
      </w:r>
      <w:r>
        <w:rPr>
          <w:rFonts w:ascii="Times New Roman" w:hAnsi="Times New Roman"/>
          <w:b w:val="false"/>
          <w:i w:val="false"/>
          <w:color w:val="000000"/>
          <w:sz w:val="22"/>
        </w:rPr>
        <w:t xml:space="preserve">Allegations of dependent adult abuse. Allegations of dependent adult abuse shall be reported and investigated pursuant to Iowa Code chapter </w:t>
      </w:r>
      <w:hyperlink r:id="rId66">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58.43(10)</w:t>
      </w:r>
      <w:r>
        <w:rPr>
          <w:rFonts w:ascii="Times New Roman" w:hAnsi="Times New Roman"/>
          <w:b w:val="false"/>
          <w:i w:val="false"/>
          <w:color w:val="000000"/>
          <w:sz w:val="22"/>
        </w:rPr>
        <w:t xml:space="preserve"> and </w:t>
      </w:r>
      <w:r>
        <w:rPr>
          <w:rFonts w:ascii="Times New Roman" w:hAnsi="Times New Roman"/>
          <w:b/>
          <w:i w:val="false"/>
          <w:color w:val="000000"/>
          <w:sz w:val="22"/>
        </w:rPr>
        <w:t>58.43(11)</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12/11/13</w:t>
      </w:r>
      <w:r>
        <w:rPr>
          <w:rFonts w:ascii="Times New Roman" w:hAnsi="Times New Roman"/>
          <w:b w:val="false"/>
          <w:i w:val="false"/>
          <w:color w:val="000000"/>
          <w:sz w:val="22"/>
        </w:rPr>
        <w:t>, effective 1/15/14.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235B.3(1)</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235B.3(11)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1204C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481—58.44</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records. </w:t>
      </w:r>
      <w:r>
        <w:rPr>
          <w:rFonts w:ascii="Times New Roman" w:hAnsi="Times New Roman"/>
          <w:b w:val="false"/>
          <w:i w:val="false"/>
          <w:color w:val="000000"/>
          <w:sz w:val="22"/>
        </w:rPr>
        <w:t>Each resident shall be ensured confidential treatment of all information contained in the resident’s records, including information contained in an automatic data bank. The resident’s written consent shall be required for the release of information to persons not otherwise authorized under law to receive it.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58.44(1)</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medical records to staff and consultants providing professional service to the resident. This is not meant to preclude access by representatives of state and federal regulatory agencies.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58.44(2)</w:t>
      </w:r>
      <w:r>
        <w:rPr>
          <w:rFonts w:ascii="Times New Roman" w:hAnsi="Times New Roman"/>
          <w:b w:val="false"/>
          <w:i w:val="false"/>
          <w:color w:val="000000"/>
          <w:sz w:val="22"/>
        </w:rPr>
        <w:t> </w:t>
      </w:r>
      <w:r>
        <w:rPr>
          <w:rFonts w:ascii="Times New Roman" w:hAnsi="Times New Roman"/>
          <w:b w:val="false"/>
          <w:i w:val="false"/>
          <w:color w:val="000000"/>
          <w:sz w:val="22"/>
        </w:rPr>
        <w:t>Similar procedures shall safeguard the confidentiality of residents’ personal records, e.g., financial records and social services records. Only those personnel concerned with the financial affairs of the residents may have access to the financial records. This is not meant to preclude access by representatives of state and federal regulatory agencies.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58.44(3)</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responsible party, shall be entitled to examine all information contained in the resident’s record and shall have the right to secure full copies of the record at reasonable cost upon request.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481—58.45</w:t>
      </w:r>
      <w:r>
        <w:rPr>
          <w:rFonts w:ascii="Times New Roman" w:hAnsi="Times New Roman"/>
          <w:b/>
          <w:i w:val="false"/>
          <w:color w:val="000000"/>
          <w:sz w:val="22"/>
        </w:rPr>
        <w:t xml:space="preserve">(135C) </w:t>
      </w:r>
      <w:r>
        <w:rPr>
          <w:rFonts w:ascii="Times New Roman" w:hAnsi="Times New Roman"/>
          <w:b/>
          <w:i w:val="false"/>
          <w:color w:val="000000"/>
          <w:sz w:val="22"/>
        </w:rPr>
        <w:t xml:space="preserve">Dignity preserved. </w:t>
      </w:r>
      <w:r>
        <w:rPr>
          <w:rFonts w:ascii="Times New Roman" w:hAnsi="Times New Roman"/>
          <w:b w:val="false"/>
          <w:i w:val="false"/>
          <w:color w:val="000000"/>
          <w:sz w:val="22"/>
        </w:rPr>
        <w:t>The resident shall be treated with consideration, respect, and full recognition of dignity and individuality, including privacy in treatment and in care for personal needs.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58.45(1)</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their individuality and dignity as human beings.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58.45(2)</w:t>
      </w:r>
      <w:r>
        <w:rPr>
          <w:rFonts w:ascii="Times New Roman" w:hAnsi="Times New Roman"/>
          <w:b w:val="false"/>
          <w:i w:val="false"/>
          <w:color w:val="000000"/>
          <w:sz w:val="22"/>
        </w:rPr>
        <w:t> </w:t>
      </w:r>
      <w:r>
        <w:rPr>
          <w:rFonts w:ascii="Times New Roman" w:hAnsi="Times New Roman"/>
          <w:b w:val="false"/>
          <w:i w:val="false"/>
          <w:color w:val="000000"/>
          <w:sz w:val="22"/>
        </w:rPr>
        <w:t>Schedules of daily activities shall allow maximum flexibility for residents to exercise choice about what they will do and when they will do it. Residents’ individual preferences regarding such things as menus, clothing, religious activities, friendships, activity programs, entertainment, sleeping and eating, also times to retire at night and arise in the morning shall be elicited and considered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58.45(3)</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or a drawn curtain shall shield the resident from passersby. People not involved in the care of the residents shall not be present without the resident’s consent while the resident is being examined or treated.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58.45(4)</w:t>
      </w:r>
      <w:r>
        <w:rPr>
          <w:rFonts w:ascii="Times New Roman" w:hAnsi="Times New Roman"/>
          <w:b w:val="false"/>
          <w:i w:val="false"/>
          <w:color w:val="000000"/>
          <w:sz w:val="22"/>
        </w:rPr>
        <w:t> </w:t>
      </w:r>
      <w:r>
        <w:rPr>
          <w:rFonts w:ascii="Times New Roman" w:hAnsi="Times New Roman"/>
          <w:b w:val="false"/>
          <w:i w:val="false"/>
          <w:color w:val="000000"/>
          <w:sz w:val="22"/>
        </w:rPr>
        <w:t>Privacy of a resident’s body also shall be maintained during toileting, bathing, and other activities of personal hygiene, except as needed for resident safety or assistance.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58.45(5)</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a response. This shall not apply in emergency conditions. (II)</w:t>
      </w:r>
    </w:p>
    <w:p>
      <w:pPr>
        <w:spacing w:before="0" w:after="0"/>
        <w:ind w:left="120"/>
        <w:jc w:val="both"/>
      </w:pPr>
      <w:r>
        <w:rPr>
          <w:rFonts w:ascii="Times New Roman" w:hAnsi="Times New Roman"/>
          <w:b/>
          <w:i w:val="false"/>
          <w:color w:val="000000"/>
          <w:sz w:val="22"/>
        </w:rPr>
        <w:t>481—58.46</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work. </w:t>
      </w:r>
      <w:r>
        <w:rPr>
          <w:rFonts w:ascii="Times New Roman" w:hAnsi="Times New Roman"/>
          <w:b w:val="false"/>
          <w:i w:val="false"/>
          <w:color w:val="000000"/>
          <w:sz w:val="22"/>
        </w:rPr>
        <w:t xml:space="preserve">No resident may be required to perform services for the facility, except as provided by Iowa Code sections </w:t>
      </w:r>
      <w:hyperlink r:id="rId71">
        <w:r>
          <w:rPr>
            <w:rStyle w:val="Hyperlink"/>
            <w:rFonts w:ascii="Times New Roman" w:hAnsi="Times New Roman"/>
            <w:b w:val="false"/>
            <w:i w:val="false"/>
            <w:color w:val="000000"/>
            <w:sz w:val="22"/>
          </w:rPr>
          <w:t>35D.14</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347B.5</w:t>
        </w:r>
      </w:hyperlink>
      <w:r>
        <w:rPr>
          <w:rFonts w:ascii="Times New Roman" w:hAnsi="Times New Roman"/>
          <w:b w:val="false"/>
          <w:i w:val="false"/>
          <w:color w:val="000000"/>
          <w:sz w:val="22"/>
        </w:rPr>
        <w:t>. Residents may perform services for the facility if such services are performed in accordance with 42 CFR 483.10(f)(9).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481—58.47</w:t>
      </w:r>
      <w:r>
        <w:rPr>
          <w:rFonts w:ascii="Times New Roman" w:hAnsi="Times New Roman"/>
          <w:b/>
          <w:i w:val="false"/>
          <w:color w:val="000000"/>
          <w:sz w:val="22"/>
        </w:rPr>
        <w:t xml:space="preserve">(135C)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and may send and receive personal mail unopened.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58.47(1)</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receive visitors in accordance with 42 CFR 483.10(f)(4) and the federal interpretive guidelines. A particular visitor may be restricted by the facility if the visitor’s behavior is unreasonably disruptive to the functioning of the facility (this judgment must be made by the administrator and the reasons shall be documented and kept on file).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58.47(2)</w:t>
      </w:r>
      <w:r>
        <w:rPr>
          <w:rFonts w:ascii="Times New Roman" w:hAnsi="Times New Roman"/>
          <w:b w:val="false"/>
          <w:i w:val="false"/>
          <w:color w:val="000000"/>
          <w:sz w:val="22"/>
        </w:rPr>
        <w:t> </w:t>
      </w:r>
      <w:r>
        <w:rPr>
          <w:rFonts w:ascii="Times New Roman" w:hAnsi="Times New Roman"/>
          <w:b w:val="false"/>
          <w:i w:val="false"/>
          <w:color w:val="000000"/>
          <w:sz w:val="22"/>
        </w:rPr>
        <w:t>Decisions to restrict a visitor are reviewed and reevaluated: each time the medical orders are reviewed by the physician, at least quarterly by the facility’s staff, or at the resident’s request.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58.47(3)</w:t>
      </w:r>
      <w:r>
        <w:rPr>
          <w:rFonts w:ascii="Times New Roman" w:hAnsi="Times New Roman"/>
          <w:b w:val="false"/>
          <w:i w:val="false"/>
          <w:color w:val="000000"/>
          <w:sz w:val="22"/>
        </w:rPr>
        <w:t> </w:t>
      </w:r>
      <w:r>
        <w:rPr>
          <w:rFonts w:ascii="Times New Roman" w:hAnsi="Times New Roman"/>
          <w:b w:val="false"/>
          <w:i w:val="false"/>
          <w:color w:val="000000"/>
          <w:sz w:val="22"/>
        </w:rPr>
        <w:t>Space shall be provided for residents to receive visitors in reasonable comfort and privacy.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58.47(4)</w:t>
      </w:r>
      <w:r>
        <w:rPr>
          <w:rFonts w:ascii="Times New Roman" w:hAnsi="Times New Roman"/>
          <w:b w:val="false"/>
          <w:i w:val="false"/>
          <w:color w:val="000000"/>
          <w:sz w:val="22"/>
        </w:rPr>
        <w:t> </w:t>
      </w:r>
      <w:r>
        <w:rPr>
          <w:rFonts w:ascii="Times New Roman" w:hAnsi="Times New Roman"/>
          <w:b w:val="false"/>
          <w:i w:val="false"/>
          <w:color w:val="000000"/>
          <w:sz w:val="22"/>
        </w:rPr>
        <w:t>Telephones shall be available and accessible for residents to make and receive calls with privacy in accordance with 42 CFR 483.10(g)(6) and (7). Residents who need help shall be assisted in using the telephone.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58.47(5)</w:t>
      </w:r>
      <w:r>
        <w:rPr>
          <w:rFonts w:ascii="Times New Roman" w:hAnsi="Times New Roman"/>
          <w:b w:val="false"/>
          <w:i w:val="false"/>
          <w:color w:val="000000"/>
          <w:sz w:val="22"/>
        </w:rPr>
        <w:t> </w:t>
      </w:r>
      <w:r>
        <w:rPr>
          <w:rFonts w:ascii="Times New Roman" w:hAnsi="Times New Roman"/>
          <w:b w:val="false"/>
          <w:i w:val="false"/>
          <w:color w:val="000000"/>
          <w:sz w:val="22"/>
        </w:rPr>
        <w:t>Arrangements shall be made to provide assistance to residents who require help in reading or sending mail.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58.47(6)</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leave the facility and environs at reasonable times unless there are justifiable reasons established in writing by the attending physician, qualified intellectual disabilities professional or facility administrator for refusing permission.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58.47(7)</w:t>
      </w:r>
      <w:r>
        <w:rPr>
          <w:rFonts w:ascii="Times New Roman" w:hAnsi="Times New Roman"/>
          <w:b w:val="false"/>
          <w:i w:val="false"/>
          <w:color w:val="000000"/>
          <w:sz w:val="22"/>
        </w:rPr>
        <w:t> </w:t>
      </w:r>
      <w:r>
        <w:rPr>
          <w:rFonts w:ascii="Times New Roman" w:hAnsi="Times New Roman"/>
          <w:b w:val="false"/>
          <w:i w:val="false"/>
          <w:color w:val="000000"/>
          <w:sz w:val="22"/>
        </w:rPr>
        <w:t>Residents shall not have their personal lives regulated beyond reasonable adherence to meal schedules, bedtime hours, and other written policies which may be necessary for the orderly management of the facility and as required by these rules. However, residents shall be encouraged to participate in recreational programs.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481—58.48</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activities. </w:t>
      </w:r>
      <w:r>
        <w:rPr>
          <w:rFonts w:ascii="Times New Roman" w:hAnsi="Times New Roman"/>
          <w:b w:val="false"/>
          <w:i w:val="false"/>
          <w:color w:val="000000"/>
          <w:sz w:val="22"/>
        </w:rPr>
        <w:t>Each resident may participate in activities of social, religious, and community groups at the resident’s discretion unless contraindicated for reasons documented by the attending physician or qualified intellectual disabilities professional as appropriate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58.48(1)</w:t>
      </w:r>
      <w:r>
        <w:rPr>
          <w:rFonts w:ascii="Times New Roman" w:hAnsi="Times New Roman"/>
          <w:b w:val="false"/>
          <w:i w:val="false"/>
          <w:color w:val="000000"/>
          <w:sz w:val="22"/>
        </w:rPr>
        <w:t> </w:t>
      </w:r>
      <w:r>
        <w:rPr>
          <w:rFonts w:ascii="Times New Roman" w:hAnsi="Times New Roman"/>
          <w:b w:val="false"/>
          <w:i w:val="false"/>
          <w:color w:val="000000"/>
          <w:sz w:val="22"/>
        </w:rPr>
        <w:t>Residents who wish to meet with or participate in activities of social, religious, or other community groups in or outside of the facility shall be informed, encouraged, and assisted to do so.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58.48(2)</w:t>
      </w:r>
      <w:r>
        <w:rPr>
          <w:rFonts w:ascii="Times New Roman" w:hAnsi="Times New Roman"/>
          <w:b w:val="false"/>
          <w:i w:val="false"/>
          <w:color w:val="000000"/>
          <w:sz w:val="22"/>
        </w:rPr>
        <w:t> </w:t>
      </w:r>
      <w:r>
        <w:rPr>
          <w:rFonts w:ascii="Times New Roman" w:hAnsi="Times New Roman"/>
          <w:b w:val="false"/>
          <w:i w:val="false"/>
          <w:color w:val="000000"/>
          <w:sz w:val="22"/>
        </w:rPr>
        <w:t>All residents shall have the freedom to refuse to participate in these activities.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481—58.49</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property. </w:t>
      </w:r>
      <w:r>
        <w:rPr>
          <w:rFonts w:ascii="Times New Roman" w:hAnsi="Times New Roman"/>
          <w:b w:val="false"/>
          <w:i w:val="false"/>
          <w:color w:val="000000"/>
          <w:sz w:val="22"/>
        </w:rPr>
        <w:t>Each resident may retain and use personal clothing and possessions as space permits and provided such use is not otherwise prohibited by these rules.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58.49(1)</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keep reasonable amounts of personal clothing and possessions for their use while in the facility. The personal property shall be kept in a safe location which is convenient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58.49(2)</w:t>
      </w:r>
      <w:r>
        <w:rPr>
          <w:rFonts w:ascii="Times New Roman" w:hAnsi="Times New Roman"/>
          <w:b w:val="false"/>
          <w:i w:val="false"/>
          <w:color w:val="000000"/>
          <w:sz w:val="22"/>
        </w:rPr>
        <w:t> </w:t>
      </w:r>
      <w:r>
        <w:rPr>
          <w:rFonts w:ascii="Times New Roman" w:hAnsi="Times New Roman"/>
          <w:b w:val="false"/>
          <w:i w:val="false"/>
          <w:color w:val="000000"/>
          <w:sz w:val="22"/>
        </w:rPr>
        <w:t>Any personal clothing or possessions retained by the facility for the resident during the resident’s stay shall be identified and recorded on admission and a record placed on the resident’s chart. The facility shall be responsible for secure storage of the items, and they shall be returned to the resident promptly upon request or upon discharge from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58.49(3)</w:t>
      </w:r>
      <w:r>
        <w:rPr>
          <w:rFonts w:ascii="Times New Roman" w:hAnsi="Times New Roman"/>
          <w:b w:val="false"/>
          <w:i w:val="false"/>
          <w:color w:val="000000"/>
          <w:sz w:val="22"/>
        </w:rPr>
        <w:t> </w:t>
      </w:r>
      <w:r>
        <w:rPr>
          <w:rFonts w:ascii="Times New Roman" w:hAnsi="Times New Roman"/>
          <w:b w:val="false"/>
          <w:i w:val="false"/>
          <w:color w:val="000000"/>
          <w:sz w:val="22"/>
        </w:rPr>
        <w:t>A resident’s personal property shall not be used without the written consent of the resident or the resident’s guardian.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58.49(4)</w:t>
      </w:r>
      <w:r>
        <w:rPr>
          <w:rFonts w:ascii="Times New Roman" w:hAnsi="Times New Roman"/>
          <w:b w:val="false"/>
          <w:i w:val="false"/>
          <w:color w:val="000000"/>
          <w:sz w:val="22"/>
        </w:rPr>
        <w:t> </w:t>
      </w:r>
      <w:r>
        <w:rPr>
          <w:rFonts w:ascii="Times New Roman" w:hAnsi="Times New Roman"/>
          <w:b w:val="false"/>
          <w:i w:val="false"/>
          <w:color w:val="000000"/>
          <w:sz w:val="22"/>
        </w:rPr>
        <w:t>A resident’s personal property shall be returned to the resident when it has been used without the written consent of the resident or the resident’s guardian. The department may report findings that a resident’s property has been used without written consent to the local law enforcement agency, as appropriate.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481—58.50</w:t>
      </w:r>
      <w:r>
        <w:rPr>
          <w:rFonts w:ascii="Times New Roman" w:hAnsi="Times New Roman"/>
          <w:b/>
          <w:i w:val="false"/>
          <w:color w:val="000000"/>
          <w:sz w:val="22"/>
        </w:rPr>
        <w:t xml:space="preserve">(135C) </w:t>
      </w:r>
      <w:r>
        <w:rPr>
          <w:rFonts w:ascii="Times New Roman" w:hAnsi="Times New Roman"/>
          <w:b/>
          <w:i w:val="false"/>
          <w:color w:val="000000"/>
          <w:sz w:val="22"/>
        </w:rPr>
        <w:t xml:space="preserve">Family visits. </w:t>
      </w:r>
      <w:r>
        <w:rPr>
          <w:rFonts w:ascii="Times New Roman" w:hAnsi="Times New Roman"/>
          <w:b w:val="false"/>
          <w:i w:val="false"/>
          <w:color w:val="000000"/>
          <w:sz w:val="22"/>
        </w:rPr>
        <w:t>Each resident, if married, shall be ensured privacy for visits by the resident’s spouse; if both are residents in the facility, they shall be permitted to share a room if available.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58.50(1)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for needed privacy in visits between spouses.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58.50(2)</w:t>
      </w:r>
      <w:r>
        <w:rPr>
          <w:rFonts w:ascii="Times New Roman" w:hAnsi="Times New Roman"/>
          <w:b w:val="false"/>
          <w:i w:val="false"/>
          <w:color w:val="000000"/>
          <w:sz w:val="22"/>
        </w:rPr>
        <w:t> </w:t>
      </w:r>
      <w:r>
        <w:rPr>
          <w:rFonts w:ascii="Times New Roman" w:hAnsi="Times New Roman"/>
          <w:b w:val="false"/>
          <w:i w:val="false"/>
          <w:color w:val="000000"/>
          <w:sz w:val="22"/>
        </w:rPr>
        <w:t>Spouses who are residents in the same facility shall be permitted to share a room, if available.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58.50(3)</w:t>
      </w:r>
      <w:r>
        <w:rPr>
          <w:rFonts w:ascii="Times New Roman" w:hAnsi="Times New Roman"/>
          <w:b w:val="false"/>
          <w:i w:val="false"/>
          <w:color w:val="000000"/>
          <w:sz w:val="22"/>
        </w:rPr>
        <w:t> </w:t>
      </w:r>
      <w:r>
        <w:rPr>
          <w:rFonts w:ascii="Times New Roman" w:hAnsi="Times New Roman"/>
          <w:b w:val="false"/>
          <w:i w:val="false"/>
          <w:color w:val="000000"/>
          <w:sz w:val="22"/>
        </w:rPr>
        <w:t>Family members shall be permitted to share a room, if available, if requested by both parties.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481—58.51</w:t>
      </w:r>
      <w:r>
        <w:rPr>
          <w:rFonts w:ascii="Times New Roman" w:hAnsi="Times New Roman"/>
          <w:b/>
          <w:i w:val="false"/>
          <w:color w:val="000000"/>
          <w:sz w:val="22"/>
        </w:rPr>
        <w:t xml:space="preserve">(135C) </w:t>
      </w:r>
      <w:r>
        <w:rPr>
          <w:rFonts w:ascii="Times New Roman" w:hAnsi="Times New Roman"/>
          <w:b/>
          <w:i w:val="false"/>
          <w:color w:val="000000"/>
          <w:sz w:val="22"/>
        </w:rPr>
        <w:t xml:space="preserve">Choice of physician and pharmacy. </w:t>
      </w:r>
      <w:r>
        <w:rPr>
          <w:rFonts w:ascii="Times New Roman" w:hAnsi="Times New Roman"/>
          <w:b w:val="false"/>
          <w:i w:val="false"/>
          <w:color w:val="000000"/>
          <w:sz w:val="22"/>
        </w:rPr>
        <w:t>Each resident shall be permitted free choice of a physician. Each resident shall have the right to choose the resident’s Medicare prescription drug benefit plan (Part D) pursuant to Section 1860D of the Social Security Act, and the facility shall utilize a pharmacy(ies) that recognizes the Part D plans chosen by that facility’s Medicare beneficiaries. Each resident shall have free choice of pharmacy as to medications purchased by the resident outside of Part D plan coverage, although the facility may require the pharmacy selected to utilize a drug distribution system compatible with the system currently used by the facility.</w:t>
      </w:r>
    </w:p>
    <w:p>
      <w:pPr>
        <w:spacing w:before="0" w:after="0"/>
        <w:ind w:left="120"/>
        <w:jc w:val="both"/>
      </w:pPr>
      <w:r>
        <w:rPr>
          <w:rFonts w:ascii="Times New Roman" w:hAnsi="Times New Roman"/>
          <w:b w:val="false"/>
          <w:i w:val="false"/>
          <w:color w:val="000000"/>
          <w:sz w:val="22"/>
        </w:rPr>
        <w:t>A facility shall not require the repackaging of medications dispensed by the Veterans Administration or an institution operated by the Veterans Administration for the purpose of making the drug distribution system compatible with the system used by the facility.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481—58.52</w:t>
      </w:r>
      <w:r>
        <w:rPr>
          <w:rFonts w:ascii="Times New Roman" w:hAnsi="Times New Roman"/>
          <w:b/>
          <w:i w:val="false"/>
          <w:color w:val="000000"/>
          <w:sz w:val="22"/>
        </w:rPr>
        <w:t xml:space="preserve">(135C) </w:t>
      </w:r>
      <w:r>
        <w:rPr>
          <w:rFonts w:ascii="Times New Roman" w:hAnsi="Times New Roman"/>
          <w:b/>
          <w:i w:val="false"/>
          <w:color w:val="000000"/>
          <w:sz w:val="22"/>
        </w:rPr>
        <w:t xml:space="preserve">Incompetent resident.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58.52(1)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facility shall provide that all rights and responsibilities of the resident devolve to the resident’s responsible party when a resident is adjudicated incompetent in accordance with state law or, in the case of a resident who has not been adjudicated incompetent under the laws of the state, in accordance with 42 CFR 483.10. This subrule is not intended to limit the authority of any individual acting pursuant to Iowa Code chapter </w:t>
      </w:r>
      <w:hyperlink r:id="rId73">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58.52(2)</w:t>
      </w:r>
      <w:r>
        <w:rPr>
          <w:rFonts w:ascii="Times New Roman" w:hAnsi="Times New Roman"/>
          <w:b w:val="false"/>
          <w:i w:val="false"/>
          <w:color w:val="000000"/>
          <w:sz w:val="22"/>
        </w:rPr>
        <w:t> </w:t>
      </w:r>
      <w:r>
        <w:rPr>
          <w:rFonts w:ascii="Times New Roman" w:hAnsi="Times New Roman"/>
          <w:b w:val="false"/>
          <w:i w:val="false"/>
          <w:color w:val="000000"/>
          <w:sz w:val="22"/>
        </w:rPr>
        <w:t>The fact that a resident has been adjudicated incompetent does not absolve the facility from advising the resident of these rights to the extent the resident is able to understand them. The facility shall also advise the responsible party, if any, and acquire a statement indicating an understanding of residents’ rights. (II)</w:t>
      </w:r>
    </w:p>
    <w:p>
      <w:pPr>
        <w:spacing w:before="210" w:after="0"/>
        <w:ind w:left="120"/>
        <w:jc w:val="both"/>
      </w:pPr>
      <w:r>
        <w:rPr>
          <w:rFonts w:ascii="Times New Roman" w:hAnsi="Times New Roman"/>
          <w:b/>
          <w:i w:val="false"/>
          <w:color w:val="000000"/>
          <w:sz w:val="22"/>
        </w:rPr>
        <w:t>481—58.53</w:t>
      </w:r>
      <w:r>
        <w:rPr>
          <w:rFonts w:ascii="Times New Roman" w:hAnsi="Times New Roman"/>
          <w:b/>
          <w:i w:val="false"/>
          <w:color w:val="000000"/>
          <w:sz w:val="22"/>
        </w:rPr>
        <w:t xml:space="preserve">(135C) </w:t>
      </w:r>
      <w:r>
        <w:rPr>
          <w:rFonts w:ascii="Times New Roman" w:hAnsi="Times New Roman"/>
          <w:b/>
          <w:i w:val="false"/>
          <w:color w:val="000000"/>
          <w:sz w:val="22"/>
        </w:rPr>
        <w:t xml:space="preserve">County care facilities.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7033C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5/31/23</w:t>
      </w:r>
      <w:r>
        <w:rPr>
          <w:rFonts w:ascii="Times New Roman" w:hAnsi="Times New Roman"/>
          <w:b w:val="false"/>
          <w:i w:val="false"/>
          <w:color w:val="000000"/>
          <w:sz w:val="22"/>
        </w:rPr>
        <w:t xml:space="preserve">, effective 7/5/23. </w:t>
      </w:r>
    </w:p>
    <w:p>
      <w:pPr>
        <w:spacing w:before="0" w:after="0"/>
        <w:ind w:left="120"/>
        <w:jc w:val="both"/>
      </w:pPr>
      <w:r>
        <w:rPr>
          <w:rFonts w:ascii="Times New Roman" w:hAnsi="Times New Roman"/>
          <w:b/>
          <w:i w:val="false"/>
          <w:color w:val="000000"/>
          <w:sz w:val="22"/>
        </w:rPr>
        <w:t>481—58.54</w:t>
      </w:r>
      <w:r>
        <w:rPr>
          <w:rFonts w:ascii="Times New Roman" w:hAnsi="Times New Roman"/>
          <w:b/>
          <w:i w:val="false"/>
          <w:color w:val="000000"/>
          <w:sz w:val="22"/>
        </w:rPr>
        <w:t xml:space="preserve">(135C) </w:t>
      </w:r>
      <w:r>
        <w:rPr>
          <w:rFonts w:ascii="Times New Roman" w:hAnsi="Times New Roman"/>
          <w:b/>
          <w:i w:val="false"/>
          <w:color w:val="000000"/>
          <w:sz w:val="22"/>
        </w:rPr>
        <w:t xml:space="preserve">Special unit or facility dedicated to the care of persons with chronic confusion or a dementing illness (CCDI unit or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58.54(1)</w:t>
      </w:r>
      <w:r>
        <w:rPr>
          <w:rFonts w:ascii="Times New Roman" w:hAnsi="Times New Roman"/>
          <w:b w:val="false"/>
          <w:i w:val="false"/>
          <w:color w:val="000000"/>
          <w:sz w:val="22"/>
        </w:rPr>
        <w:t> </w:t>
      </w:r>
      <w:r>
        <w:rPr>
          <w:rFonts w:ascii="Times New Roman" w:hAnsi="Times New Roman"/>
          <w:b w:val="false"/>
          <w:i w:val="false"/>
          <w:color w:val="000000"/>
          <w:sz w:val="22"/>
        </w:rPr>
        <w:t>A nursing facility which chooses to care for residents in a distinct part shall obtain a license for a CCDI unit or facility. In the case of a distinct part, this license will be in addition to its nursing facility license. The license shall state the number of beds in the unit or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this category of care shall be submitted on a form provided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to modify the physical environment shall be submitted to the department. The plans shall be reviewed based on the requirements of </w:t>
      </w:r>
      <w:hyperlink r:id="rId74">
        <w:r>
          <w:rPr>
            <w:rStyle w:val="Hyperlink"/>
            <w:rFonts w:ascii="Times New Roman" w:hAnsi="Times New Roman"/>
            <w:b w:val="false"/>
            <w:i w:val="false"/>
            <w:color w:val="000000"/>
            <w:sz w:val="22"/>
          </w:rPr>
          <w:t>481—Chapter 61</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58.54(2)</w:t>
      </w:r>
      <w:r>
        <w:rPr>
          <w:rFonts w:ascii="Times New Roman" w:hAnsi="Times New Roman"/>
          <w:b w:val="false"/>
          <w:i w:val="false"/>
          <w:color w:val="000000"/>
          <w:sz w:val="22"/>
        </w:rPr>
        <w:t> </w:t>
      </w:r>
      <w:r>
        <w:rPr>
          <w:rFonts w:ascii="Times New Roman" w:hAnsi="Times New Roman"/>
          <w:b w:val="false"/>
          <w:i w:val="false"/>
          <w:color w:val="000000"/>
          <w:sz w:val="22"/>
        </w:rPr>
        <w:t>A statement of philosophy shall be developed for each unit or facility which states the beliefs upon which decisions will be made regarding the CCDI unit or facility. Objectives shall be developed for each CCDI unit or facility as a whole. The objectives shall be stated in terms of expected results.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58.54(3)</w:t>
      </w:r>
      <w:r>
        <w:rPr>
          <w:rFonts w:ascii="Times New Roman" w:hAnsi="Times New Roman"/>
          <w:b w:val="false"/>
          <w:i w:val="false"/>
          <w:color w:val="000000"/>
          <w:sz w:val="22"/>
        </w:rPr>
        <w:t> </w:t>
      </w:r>
      <w:r>
        <w:rPr>
          <w:rFonts w:ascii="Times New Roman" w:hAnsi="Times New Roman"/>
          <w:b w:val="false"/>
          <w:i w:val="false"/>
          <w:color w:val="000000"/>
          <w:sz w:val="22"/>
        </w:rPr>
        <w:t>A résumé of the program of care shall be submitted to the department for approval at least 60 days before a separate CCDI unit or facility is opened. A new résumé of the program of care shall be submitted when services are substantially changed. (II, III)</w:t>
      </w:r>
    </w:p>
    <w:p>
      <w:pPr>
        <w:spacing w:before="0" w:after="0"/>
        <w:ind w:left="120"/>
        <w:jc w:val="both"/>
      </w:pPr>
      <w:r>
        <w:rPr>
          <w:rFonts w:ascii="Times New Roman" w:hAnsi="Times New Roman"/>
          <w:b w:val="false"/>
          <w:i w:val="false"/>
          <w:color w:val="000000"/>
          <w:sz w:val="22"/>
        </w:rPr>
        <w:t>The résumé of the program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 the population to be served;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philosophy and objectives;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admission and discharge criteria;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copy of the floor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List the titles of policies and procedures developed for the unit or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Propose a staffing pattern;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Set out a plan for specialized staff training;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 visitor, volunteer, and safety policies;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Describe programs for activities, social services and families;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Describe the interdisciplinary care planning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58.54(4)</w:t>
      </w:r>
      <w:r>
        <w:rPr>
          <w:rFonts w:ascii="Times New Roman" w:hAnsi="Times New Roman"/>
          <w:b w:val="false"/>
          <w:i w:val="false"/>
          <w:color w:val="000000"/>
          <w:sz w:val="22"/>
        </w:rPr>
        <w:t> </w:t>
      </w:r>
      <w:r>
        <w:rPr>
          <w:rFonts w:ascii="Times New Roman" w:hAnsi="Times New Roman"/>
          <w:b w:val="false"/>
          <w:i w:val="false"/>
          <w:color w:val="000000"/>
          <w:sz w:val="22"/>
        </w:rPr>
        <w:t>Separate written policies and procedures shall be implemented in each CCDI unit or facility. There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Admission and discharge policies and procedures which state the criteria to be used to admit residents and the evaluation process which will be used. These policies shall require a statement from the attending physician agreeing to the placement before a resident can be moved into a CCDI unit or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Safety policies and procedures which state the actions to be taken by staff in the event of a fire, natural disaster, emergency medical or catastrophic event. Safety procedures shall also explain steps to be taken when a resident is discovered to be missing from the unit or facility and when hazardous cleaning materials or potentially dangerous mechanical equipment is being used in the unit or facility. The facility shall identify its method for security of the unit or facility and the manner in which the effectiveness of the security system will be monitored.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Program and service policies and procedures which explain programs and services offered in the unit or facility including the rationale.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concerning staff which state minimum numbers, types and qualifications of staff in the unit or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Policies about visiting which suggest times and ensure the residents’ rights to free access to visitors.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Quality assurance policies and procedures which list the process and criteria which will be used to monitor and to respond to risks specific to the residents. This shall include, but not be limited to, drug use, restraint use, infections, incidents and acute behavioral events.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58.54(5)</w:t>
      </w:r>
      <w:r>
        <w:rPr>
          <w:rFonts w:ascii="Times New Roman" w:hAnsi="Times New Roman"/>
          <w:b w:val="false"/>
          <w:i w:val="false"/>
          <w:color w:val="000000"/>
          <w:sz w:val="22"/>
        </w:rPr>
        <w:t> </w:t>
      </w:r>
      <w:r>
        <w:rPr>
          <w:rFonts w:ascii="Times New Roman" w:hAnsi="Times New Roman"/>
          <w:b w:val="false"/>
          <w:i w:val="false"/>
          <w:color w:val="000000"/>
          <w:sz w:val="22"/>
        </w:rPr>
        <w:t>Preadmission assessment of physical, mental, social and behavioral status shall be completed to determine whether the applicant meets admission criteria. This assessment shall be completed by a registered nurse and a staff social worker or social work consultant and shall become part of the permanent record upon admission of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58.54(6)</w:t>
      </w:r>
      <w:r>
        <w:rPr>
          <w:rFonts w:ascii="Times New Roman" w:hAnsi="Times New Roman"/>
          <w:b w:val="false"/>
          <w:i w:val="false"/>
          <w:color w:val="000000"/>
          <w:sz w:val="22"/>
        </w:rPr>
        <w:t> </w:t>
      </w:r>
      <w:r>
        <w:rPr>
          <w:rFonts w:ascii="Times New Roman" w:hAnsi="Times New Roman"/>
          <w:b w:val="false"/>
          <w:i w:val="false"/>
          <w:color w:val="000000"/>
          <w:sz w:val="22"/>
        </w:rPr>
        <w:t>All staff working in a CCDI unit or facility shall have training appropriate to the needs of the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assignment to the unit or facility, everyone working in the unit or facility shall be oriented to the needs of people with chronic confusion or dementing illnesses. They shall have special training appropriate to their job description within 30 days of assignment to the unit or facility. (II, III) The orientation shall be at least six hours. The following topics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Explanation of the disease or disorder;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Symptoms and behaviors of memory-impaired people;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Progression of the disease;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Communication with CCDI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Adjustment to care facility residency by the CCDI unit or facility residents and their families;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Inappropriate and problem behavior of CCDI unit or facility residents and how to deal with it;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Activities of daily living for CCDI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combative behavior;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Stress reduction for staff and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Licensed nurses, certified aides, certified medication aides, social services personnel, housekeeping and activity personnel shall have a minimum of six hours of in-service training annually. This training shall be related to the needs of CCDI residents. The six-hour training shall count toward the required annual in-service training.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58.54(7)</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one nursing staff person on a CCDI unit at all times.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58.54(8)</w:t>
      </w:r>
      <w:r>
        <w:rPr>
          <w:rFonts w:ascii="Times New Roman" w:hAnsi="Times New Roman"/>
          <w:b w:val="false"/>
          <w:i w:val="false"/>
          <w:color w:val="000000"/>
          <w:sz w:val="22"/>
        </w:rPr>
        <w:t> </w:t>
      </w:r>
      <w:r>
        <w:rPr>
          <w:rFonts w:ascii="Times New Roman" w:hAnsi="Times New Roman"/>
          <w:b w:val="false"/>
          <w:i w:val="false"/>
          <w:color w:val="000000"/>
          <w:sz w:val="22"/>
        </w:rPr>
        <w:t xml:space="preserve">The CCDI unit or facility license may be revoked, suspended or denied pursuant to Iowa Code chapter </w:t>
      </w:r>
      <w:hyperlink r:id="rId7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Iowa Administrative Code </w:t>
      </w:r>
      <w:hyperlink r:id="rId76">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481—58.55</w:t>
      </w:r>
      <w:r>
        <w:rPr>
          <w:rFonts w:ascii="Times New Roman" w:hAnsi="Times New Roman"/>
          <w:b/>
          <w:i w:val="false"/>
          <w:color w:val="000000"/>
          <w:sz w:val="22"/>
        </w:rPr>
        <w:t xml:space="preserve">(135C) </w:t>
      </w:r>
      <w:r>
        <w:rPr>
          <w:rFonts w:ascii="Times New Roman" w:hAnsi="Times New Roman"/>
          <w:b/>
          <w:i w:val="false"/>
          <w:color w:val="000000"/>
          <w:sz w:val="22"/>
        </w:rPr>
        <w:t xml:space="preserve">Another business or activity in a facility. </w:t>
      </w:r>
      <w:r>
        <w:rPr>
          <w:rFonts w:ascii="Times New Roman" w:hAnsi="Times New Roman"/>
          <w:b w:val="false"/>
          <w:i w:val="false"/>
          <w:color w:val="000000"/>
          <w:sz w:val="22"/>
        </w:rPr>
        <w:t>A facility is allowed to have another business or activity in a health care facility or in the physical structure of the facility, if the other business or activity meets the requirements of applicable state and federal laws, administrative rules, and federal regulations.</w:t>
      </w:r>
    </w:p>
    <w:p>
      <w:pPr>
        <w:spacing w:before="0" w:after="0"/>
        <w:ind w:left="120"/>
        <w:jc w:val="both"/>
      </w:pPr>
      <w:r>
        <w:rPr>
          <w:rFonts w:ascii="Times New Roman" w:hAnsi="Times New Roman"/>
          <w:b w:val="false"/>
          <w:i w:val="false"/>
          <w:color w:val="000000"/>
          <w:sz w:val="22"/>
        </w:rPr>
        <w:t xml:space="preserve">To obtain the approval of the department and the state fire marshal, the facility must submit to the department a written request for approval which identifies the service(s) to be offered by the business and addresses the factors outlined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of subrule </w:t>
      </w:r>
      <w:hyperlink r:id="rId77">
        <w:r>
          <w:rPr>
            <w:rStyle w:val="Hyperlink"/>
            <w:rFonts w:ascii="Times New Roman" w:hAnsi="Times New Roman"/>
            <w:b w:val="false"/>
            <w:i w:val="false"/>
            <w:color w:val="000000"/>
            <w:sz w:val="22"/>
          </w:rPr>
          <w:t>58.55(1)</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58.55(1)</w:t>
      </w:r>
      <w:r>
        <w:rPr>
          <w:rFonts w:ascii="Times New Roman" w:hAnsi="Times New Roman"/>
          <w:b w:val="false"/>
          <w:i w:val="false"/>
          <w:color w:val="000000"/>
          <w:sz w:val="22"/>
        </w:rPr>
        <w:t> </w:t>
      </w:r>
      <w:r>
        <w:rPr>
          <w:rFonts w:ascii="Times New Roman" w:hAnsi="Times New Roman"/>
          <w:b w:val="false"/>
          <w:i w:val="false"/>
          <w:color w:val="000000"/>
          <w:sz w:val="22"/>
        </w:rPr>
        <w:t>The following factors will be considered by the department in determining whether a business or activity will interfere with the use of the facility by residents, interfere with services provided to residents, or be disturbing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and safety risks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Noise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Odors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Use of the facility’s corridors or rooms as thoroughfares to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Proposed staffing for the business or 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Sharing of services and staff between the proposed business or activity and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58.55(2)</w:t>
      </w:r>
      <w:r>
        <w:rPr>
          <w:rFonts w:ascii="Times New Roman" w:hAnsi="Times New Roman"/>
          <w:b w:val="false"/>
          <w:i w:val="false"/>
          <w:color w:val="000000"/>
          <w:sz w:val="22"/>
        </w:rPr>
        <w:t> </w:t>
      </w:r>
      <w:r>
        <w:rPr>
          <w:rFonts w:ascii="Times New Roman" w:hAnsi="Times New Roman"/>
          <w:b w:val="false"/>
          <w:i w:val="false"/>
          <w:color w:val="000000"/>
          <w:sz w:val="22"/>
        </w:rPr>
        <w:t>Approval of the state fire marshal shall be obtained before approval of the department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58.55(3)</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or activity conducted in a health care facility or in the same physical structure as a health care facility shall not reduce space, services or staff available to residents below minimums required in these rules and </w:t>
      </w:r>
      <w:hyperlink r:id="rId78">
        <w:r>
          <w:rPr>
            <w:rStyle w:val="Hyperlink"/>
            <w:rFonts w:ascii="Times New Roman" w:hAnsi="Times New Roman"/>
            <w:b w:val="false"/>
            <w:i w:val="false"/>
            <w:color w:val="000000"/>
            <w:sz w:val="22"/>
          </w:rPr>
          <w:t>481—Chapter 61</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i w:val="false"/>
          <w:color w:val="000000"/>
          <w:sz w:val="22"/>
        </w:rPr>
        <w:t>481—58.56</w:t>
      </w:r>
      <w:r>
        <w:rPr>
          <w:rFonts w:ascii="Times New Roman" w:hAnsi="Times New Roman"/>
          <w:b/>
          <w:i w:val="false"/>
          <w:color w:val="000000"/>
          <w:sz w:val="22"/>
        </w:rPr>
        <w:t xml:space="preserve">(135C)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Respite care services means an organized program of temporary supportive care provided for 24 hours or more to a person in order to relieve the usual caregiver of the person from providing continual care to the person. A nursing facility which chooses to provide respite care services must meet the following requirements related to respite services and must be licensed as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58.56(1)</w:t>
      </w:r>
      <w:r>
        <w:rPr>
          <w:rFonts w:ascii="Times New Roman" w:hAnsi="Times New Roman"/>
          <w:b w:val="false"/>
          <w:i w:val="false"/>
          <w:color w:val="000000"/>
          <w:sz w:val="22"/>
        </w:rPr>
        <w:t> </w:t>
      </w:r>
      <w:r>
        <w:rPr>
          <w:rFonts w:ascii="Times New Roman" w:hAnsi="Times New Roman"/>
          <w:b w:val="false"/>
          <w:i w:val="false"/>
          <w:color w:val="000000"/>
          <w:sz w:val="22"/>
        </w:rPr>
        <w:t>A nursing facility certified as a Medicaid nursing facility or Medicare skilled nursing facility must meet all Medicaid and Medicare requirements including 42 CFR 483.15, admission, transfer and discharge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58.56(2)</w:t>
      </w:r>
      <w:r>
        <w:rPr>
          <w:rFonts w:ascii="Times New Roman" w:hAnsi="Times New Roman"/>
          <w:b w:val="false"/>
          <w:i w:val="false"/>
          <w:color w:val="000000"/>
          <w:sz w:val="22"/>
        </w:rPr>
        <w:t> </w:t>
      </w:r>
      <w:r>
        <w:rPr>
          <w:rFonts w:ascii="Times New Roman" w:hAnsi="Times New Roman"/>
          <w:b w:val="false"/>
          <w:i w:val="false"/>
          <w:color w:val="000000"/>
          <w:sz w:val="22"/>
        </w:rPr>
        <w:t>A nursing facility which chooses to provide respite care services is not required to obtain a separate license or pay a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58.56(3)</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79">
        <w:r>
          <w:rPr>
            <w:rStyle w:val="Hyperlink"/>
            <w:rFonts w:ascii="Times New Roman" w:hAnsi="Times New Roman"/>
            <w:b w:val="false"/>
            <w:i w:val="false"/>
            <w:color w:val="000000"/>
            <w:sz w:val="22"/>
          </w:rPr>
          <w:t>481—58.40</w:t>
        </w:r>
      </w:hyperlink>
      <w:r>
        <w:rPr>
          <w:rFonts w:ascii="Times New Roman" w:hAnsi="Times New Roman"/>
          <w:b w:val="false"/>
          <w:i w:val="false"/>
          <w:color w:val="000000"/>
          <w:sz w:val="22"/>
        </w:rPr>
        <w:t>(135C) regarding involuntary discharge or transfer rights, does not apply to residents who are being cared for under a respite care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58.56(4)</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rule </w:t>
      </w:r>
      <w:hyperlink r:id="rId80">
        <w:r>
          <w:rPr>
            <w:rStyle w:val="Hyperlink"/>
            <w:rFonts w:ascii="Times New Roman" w:hAnsi="Times New Roman"/>
            <w:b w:val="false"/>
            <w:i w:val="false"/>
            <w:color w:val="000000"/>
            <w:sz w:val="22"/>
          </w:rPr>
          <w:t>481—58.13</w:t>
        </w:r>
      </w:hyperlink>
      <w:r>
        <w:rPr>
          <w:rFonts w:ascii="Times New Roman" w:hAnsi="Times New Roman"/>
          <w:b w:val="false"/>
          <w:i w:val="false"/>
          <w:color w:val="000000"/>
          <w:sz w:val="22"/>
        </w:rPr>
        <w:t xml:space="preserve">(135C), the facility shall have a contract with each resident in the facility. When the resident is there for respite care services, the contract shall specify the time period during which the resident will be considered to be receiving respite care services. At the end of that period, the contract may be amended to extend that period of time. The contract shall specifically state the resident may be involuntarily discharged while being considered as a respite care resident. The contract shall meet other requirements under </w:t>
      </w:r>
      <w:hyperlink r:id="rId81">
        <w:r>
          <w:rPr>
            <w:rStyle w:val="Hyperlink"/>
            <w:rFonts w:ascii="Times New Roman" w:hAnsi="Times New Roman"/>
            <w:b w:val="false"/>
            <w:i w:val="false"/>
            <w:color w:val="000000"/>
            <w:sz w:val="22"/>
          </w:rPr>
          <w:t>481—58.13</w:t>
        </w:r>
      </w:hyperlink>
      <w:r>
        <w:rPr>
          <w:rFonts w:ascii="Times New Roman" w:hAnsi="Times New Roman"/>
          <w:b w:val="false"/>
          <w:i w:val="false"/>
          <w:color w:val="000000"/>
          <w:sz w:val="22"/>
        </w:rPr>
        <w:t xml:space="preserve">(135C), except the requirements under subrule </w:t>
      </w:r>
      <w:hyperlink r:id="rId82">
        <w:r>
          <w:rPr>
            <w:rStyle w:val="Hyperlink"/>
            <w:rFonts w:ascii="Times New Roman" w:hAnsi="Times New Roman"/>
            <w:b w:val="false"/>
            <w:i w:val="false"/>
            <w:color w:val="000000"/>
            <w:sz w:val="22"/>
          </w:rPr>
          <w:t>58.13(7)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58.56(5)</w:t>
      </w:r>
      <w:r>
        <w:rPr>
          <w:rFonts w:ascii="Times New Roman" w:hAnsi="Times New Roman"/>
          <w:b w:val="false"/>
          <w:i w:val="false"/>
          <w:color w:val="000000"/>
          <w:sz w:val="22"/>
        </w:rPr>
        <w:t> </w:t>
      </w:r>
      <w:r>
        <w:rPr>
          <w:rFonts w:ascii="Times New Roman" w:hAnsi="Times New Roman"/>
          <w:b w:val="false"/>
          <w:i w:val="false"/>
          <w:color w:val="000000"/>
          <w:sz w:val="22"/>
        </w:rPr>
        <w:t>Respite care services shall not be provided by a health care facility to persons requiring a level of care which is higher than the level of care the facility is licensed to provide.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481—58.57</w:t>
      </w:r>
      <w:r>
        <w:rPr>
          <w:rFonts w:ascii="Times New Roman" w:hAnsi="Times New Roman"/>
          <w:b/>
          <w:i w:val="false"/>
          <w:color w:val="000000"/>
          <w:sz w:val="22"/>
        </w:rPr>
        <w:t xml:space="preserve">(135C) </w:t>
      </w:r>
      <w:r>
        <w:rPr>
          <w:rFonts w:ascii="Times New Roman" w:hAnsi="Times New Roman"/>
          <w:b/>
          <w:i w:val="false"/>
          <w:color w:val="000000"/>
          <w:sz w:val="22"/>
        </w:rPr>
        <w:t xml:space="preserve">Training of inspectors.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58.57(1)</w:t>
      </w:r>
      <w:r>
        <w:rPr>
          <w:rFonts w:ascii="Times New Roman" w:hAnsi="Times New Roman"/>
          <w:b w:val="false"/>
          <w:i w:val="false"/>
          <w:color w:val="000000"/>
          <w:sz w:val="22"/>
        </w:rPr>
        <w:t> </w:t>
      </w:r>
      <w:r>
        <w:rPr>
          <w:rFonts w:ascii="Times New Roman" w:hAnsi="Times New Roman"/>
          <w:b w:val="false"/>
          <w:i w:val="false"/>
          <w:color w:val="000000"/>
          <w:sz w:val="22"/>
        </w:rPr>
        <w:t>Subject to the availability of funding, all nursing facility inspectors shall receive 12 hours of annual continuing education in gerontology, wound care, dementia, falls, or a combination of these subjects.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58.57(2)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inspector shall not be personally liable for financing the training required under subrule </w:t>
      </w:r>
      <w:hyperlink r:id="rId83">
        <w:r>
          <w:rPr>
            <w:rStyle w:val="Hyperlink"/>
            <w:rFonts w:ascii="Times New Roman" w:hAnsi="Times New Roman"/>
            <w:b w:val="false"/>
            <w:i w:val="false"/>
            <w:color w:val="000000"/>
            <w:sz w:val="22"/>
          </w:rPr>
          <w:t>58.57(1)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58.57(3)</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consult with the collective bargaining representative of the inspector in regard to the training required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4">
        <w:r>
          <w:rPr>
            <w:rStyle w:val="Hyperlink"/>
            <w:rFonts w:ascii="Times New Roman" w:hAnsi="Times New Roman"/>
            <w:b w:val="false"/>
            <w:i w:val="false"/>
            <w:color w:val="000000"/>
            <w:sz w:val="22"/>
          </w:rPr>
          <w:t>10A.402</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135C.6(1)</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135C.32</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135C.36</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8/6/76, Notice 4/19/76—published 8/23/76, effective 9/27/76]</w:t>
      </w:r>
    </w:p>
    <w:p>
      <w:pPr>
        <w:spacing w:before="0" w:after="0"/>
        <w:ind w:left="120"/>
        <w:jc w:val="center"/>
      </w:pPr>
      <w:r>
        <w:rPr>
          <w:rFonts w:ascii="Times New Roman" w:hAnsi="Times New Roman"/>
          <w:b w:val="false"/>
          <w:i w:val="false"/>
          <w:color w:val="000000"/>
          <w:sz w:val="21"/>
        </w:rPr>
        <w:t>[Filed without Notice 10/4/76—published 10/20/76, effective 11/24/76]</w:t>
      </w:r>
    </w:p>
    <w:p>
      <w:pPr>
        <w:spacing w:before="0" w:after="0"/>
        <w:ind w:left="120"/>
        <w:jc w:val="center"/>
      </w:pPr>
      <w:r>
        <w:rPr>
          <w:rFonts w:ascii="Times New Roman" w:hAnsi="Times New Roman"/>
          <w:b w:val="false"/>
          <w:i w:val="false"/>
          <w:color w:val="000000"/>
          <w:sz w:val="21"/>
        </w:rPr>
        <w:t>[Filed emergency 12/21/76—published 1/12/77, effective 1/12/77]</w:t>
      </w:r>
    </w:p>
    <w:p>
      <w:pPr>
        <w:spacing w:before="0" w:after="0"/>
        <w:ind w:left="120"/>
        <w:jc w:val="center"/>
      </w:pPr>
      <w:r>
        <w:rPr>
          <w:rFonts w:ascii="Times New Roman" w:hAnsi="Times New Roman"/>
          <w:b w:val="false"/>
          <w:i w:val="false"/>
          <w:color w:val="000000"/>
          <w:sz w:val="21"/>
        </w:rPr>
        <w:t>[Filed without Notice 2/4/77—published 2/23/77, effective 3/30/77]</w:t>
      </w:r>
    </w:p>
    <w:p>
      <w:pPr>
        <w:spacing w:before="0" w:after="0"/>
        <w:ind w:left="120"/>
        <w:jc w:val="center"/>
      </w:pPr>
      <w:r>
        <w:rPr>
          <w:rFonts w:ascii="Times New Roman" w:hAnsi="Times New Roman"/>
          <w:b w:val="false"/>
          <w:i w:val="false"/>
          <w:color w:val="000000"/>
          <w:sz w:val="21"/>
        </w:rPr>
        <w:t>[Filed 8/18/77, Notice 3/9/77—published 9/7/77, effective 10/13/77]</w:t>
      </w:r>
    </w:p>
    <w:p>
      <w:pPr>
        <w:spacing w:before="0" w:after="0"/>
        <w:ind w:left="120"/>
        <w:jc w:val="center"/>
      </w:pPr>
      <w:r>
        <w:rPr>
          <w:rFonts w:ascii="Times New Roman" w:hAnsi="Times New Roman"/>
          <w:b w:val="false"/>
          <w:i w:val="false"/>
          <w:color w:val="000000"/>
          <w:sz w:val="21"/>
        </w:rPr>
        <w:t>[Filed emergency 9/30/77—published 10/19/77, effective 9/30/77]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5/26/78, Notice 3/8/78—published 6/14/78, effective 7/19/78]</w:t>
      </w:r>
    </w:p>
    <w:p>
      <w:pPr>
        <w:spacing w:before="0" w:after="0"/>
        <w:ind w:left="120"/>
        <w:jc w:val="center"/>
      </w:pPr>
      <w:r>
        <w:rPr>
          <w:rFonts w:ascii="Times New Roman" w:hAnsi="Times New Roman"/>
          <w:b w:val="false"/>
          <w:i w:val="false"/>
          <w:color w:val="000000"/>
          <w:sz w:val="21"/>
        </w:rPr>
        <w:t>[Filed 7/7/78, Notice 5/31/78—published 7/26/78, effective 9/1/78]</w:t>
      </w:r>
    </w:p>
    <w:p>
      <w:pPr>
        <w:spacing w:before="0" w:after="0"/>
        <w:ind w:left="120"/>
        <w:jc w:val="center"/>
      </w:pPr>
      <w:r>
        <w:rPr>
          <w:rFonts w:ascii="Times New Roman" w:hAnsi="Times New Roman"/>
          <w:b w:val="false"/>
          <w:i w:val="false"/>
          <w:color w:val="000000"/>
          <w:sz w:val="21"/>
        </w:rPr>
        <w:t>[Filed 10/13/78, Notice 9/6/78—published 11/1/78, effective 12/7/78]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emergency 11/22/78—published 12/13/78, effective 1/3/79]</w:t>
      </w:r>
    </w:p>
    <w:p>
      <w:pPr>
        <w:spacing w:before="0" w:after="0"/>
        <w:ind w:left="120"/>
        <w:jc w:val="center"/>
      </w:pPr>
      <w:r>
        <w:rPr>
          <w:rFonts w:ascii="Times New Roman" w:hAnsi="Times New Roman"/>
          <w:b w:val="false"/>
          <w:i w:val="false"/>
          <w:color w:val="000000"/>
          <w:sz w:val="21"/>
        </w:rPr>
        <w:t>[Filed 5/20/82, Notice 12/23/81—published 6/9/82, effective 7/14/82]</w:t>
      </w:r>
    </w:p>
    <w:p>
      <w:pPr>
        <w:spacing w:before="0" w:after="0"/>
        <w:ind w:left="120"/>
        <w:jc w:val="center"/>
      </w:pPr>
      <w:r>
        <w:rPr>
          <w:rFonts w:ascii="Times New Roman" w:hAnsi="Times New Roman"/>
          <w:b w:val="false"/>
          <w:i w:val="false"/>
          <w:color w:val="000000"/>
          <w:sz w:val="21"/>
        </w:rPr>
        <w:t>[Filed without Notice 7/16/82—published 8/4/82, effective 9/8/82]</w:t>
      </w:r>
    </w:p>
    <w:p>
      <w:pPr>
        <w:spacing w:before="0" w:after="0"/>
        <w:ind w:left="120"/>
        <w:jc w:val="center"/>
      </w:pPr>
      <w:r>
        <w:rPr>
          <w:rFonts w:ascii="Times New Roman" w:hAnsi="Times New Roman"/>
          <w:b w:val="false"/>
          <w:i w:val="false"/>
          <w:color w:val="000000"/>
          <w:sz w:val="21"/>
        </w:rPr>
        <w:t>[Filed 3/11/83, Notice 1/5/83—published 3/30/83, effective 5/4/83]</w:t>
      </w:r>
    </w:p>
    <w:p>
      <w:pPr>
        <w:spacing w:before="0" w:after="0"/>
        <w:ind w:left="120"/>
        <w:jc w:val="center"/>
      </w:pPr>
      <w:r>
        <w:rPr>
          <w:rFonts w:ascii="Times New Roman" w:hAnsi="Times New Roman"/>
          <w:b w:val="false"/>
          <w:i w:val="false"/>
          <w:color w:val="000000"/>
          <w:sz w:val="21"/>
        </w:rPr>
        <w:t>[Filed 1/10/86, Notice 11/6/85—published 1/29/86, effective 3/5/86]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5/16/86, Notice 1/1/86—published 6/4/86, effective 7/9/86]</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6/27/86, Notice 3/26/86—published 7/16/86, effective 8/20/86]</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2/6/87, Notice 10/22/86—published 2/25/87, effective 4/1/87]</w:t>
      </w:r>
    </w:p>
    <w:p>
      <w:pPr>
        <w:spacing w:before="0" w:after="0"/>
        <w:ind w:left="120"/>
        <w:jc w:val="center"/>
      </w:pPr>
      <w:r>
        <w:rPr>
          <w:rFonts w:ascii="Times New Roman" w:hAnsi="Times New Roman"/>
          <w:b w:val="false"/>
          <w:i w:val="false"/>
          <w:color w:val="000000"/>
          <w:sz w:val="21"/>
        </w:rPr>
        <w:t>[Filed 2/6/87, Notice 11/5/86—published 2/25/87, effective 4/1/87]</w:t>
      </w:r>
    </w:p>
    <w:p>
      <w:pPr>
        <w:spacing w:before="0" w:after="0"/>
        <w:ind w:left="120"/>
        <w:jc w:val="center"/>
      </w:pPr>
      <w:r>
        <w:rPr>
          <w:rFonts w:ascii="Times New Roman" w:hAnsi="Times New Roman"/>
          <w:b w:val="false"/>
          <w:i w:val="false"/>
          <w:color w:val="000000"/>
          <w:sz w:val="21"/>
        </w:rPr>
        <w:t>[Filed 3/12/87, Notice 1/28/87—published 4/8/87, effective 5/13/87]</w:t>
      </w:r>
    </w:p>
    <w:p>
      <w:pPr>
        <w:spacing w:before="0" w:after="0"/>
        <w:ind w:left="120"/>
        <w:jc w:val="center"/>
      </w:pPr>
      <w:r>
        <w:rPr>
          <w:rFonts w:ascii="Times New Roman" w:hAnsi="Times New Roman"/>
          <w:b w:val="false"/>
          <w:i w:val="false"/>
          <w:color w:val="000000"/>
          <w:sz w:val="21"/>
        </w:rPr>
        <w:t>[Filed emergency 6/25/87—published 7/15/87, effective 7/1/87]</w:t>
      </w:r>
    </w:p>
    <w:p>
      <w:pPr>
        <w:spacing w:before="0" w:after="0"/>
        <w:ind w:left="120"/>
        <w:jc w:val="center"/>
      </w:pPr>
      <w:r>
        <w:rPr>
          <w:rFonts w:ascii="Times New Roman" w:hAnsi="Times New Roman"/>
          <w:b w:val="false"/>
          <w:i w:val="false"/>
          <w:color w:val="000000"/>
          <w:sz w:val="21"/>
        </w:rPr>
        <w:t>[Filed 10/26/87, Notice 8/26/87—published 11/18/87, effective 12/23/87]</w:t>
      </w:r>
    </w:p>
    <w:p>
      <w:pPr>
        <w:spacing w:before="0" w:after="0"/>
        <w:ind w:left="120"/>
        <w:jc w:val="center"/>
      </w:pPr>
      <w:r>
        <w:rPr>
          <w:rFonts w:ascii="Times New Roman" w:hAnsi="Times New Roman"/>
          <w:b w:val="false"/>
          <w:i w:val="false"/>
          <w:color w:val="000000"/>
          <w:sz w:val="21"/>
        </w:rPr>
        <w:t>[Filed 2/5/88, Notice 10/7/87—published 2/24/88, effective 3/30/88]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4/28/88, Notice 12/16/87—published 5/18/88, effective 6/22/88]</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9/30/88, Notice 8/24/88—published 10/19/88, effective 11/23/88]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1/5/89, Notice 10/5/88—published 1/25/89, effective 3/1/89]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7/20/89, Notice 6/14/89—published 8/9/89, effective 9/13/89]</w:t>
      </w:r>
    </w:p>
    <w:p>
      <w:pPr>
        <w:spacing w:before="0" w:after="0"/>
        <w:ind w:left="120"/>
        <w:jc w:val="center"/>
      </w:pPr>
      <w:r>
        <w:rPr>
          <w:rFonts w:ascii="Times New Roman" w:hAnsi="Times New Roman"/>
          <w:b w:val="false"/>
          <w:i w:val="false"/>
          <w:color w:val="000000"/>
          <w:sz w:val="21"/>
        </w:rPr>
        <w:t>[Filed 8/16/89, Notices 4/19/89, 7/12/89—published 9/6/89, effective 10/11/89]</w:t>
      </w:r>
    </w:p>
    <w:p>
      <w:pPr>
        <w:spacing w:before="0" w:after="0"/>
        <w:ind w:left="120"/>
        <w:jc w:val="center"/>
      </w:pPr>
      <w:r>
        <w:rPr>
          <w:rFonts w:ascii="Times New Roman" w:hAnsi="Times New Roman"/>
          <w:b w:val="false"/>
          <w:i w:val="false"/>
          <w:color w:val="000000"/>
          <w:sz w:val="21"/>
        </w:rPr>
        <w:t>[Filed emergency 5/11/90—published 5/30/90, effective 5/11/90]</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emergency 7/17/91—published 8/7/91, effective 7/19/91]</w:t>
      </w:r>
    </w:p>
    <w:p>
      <w:pPr>
        <w:spacing w:before="0" w:after="0"/>
        <w:ind w:left="120"/>
        <w:jc w:val="center"/>
      </w:pPr>
      <w:r>
        <w:rPr>
          <w:rFonts w:ascii="Times New Roman" w:hAnsi="Times New Roman"/>
          <w:b w:val="false"/>
          <w:i w:val="false"/>
          <w:color w:val="000000"/>
          <w:sz w:val="21"/>
        </w:rPr>
        <w:t>[Filed 1/31/92, Notice 11/13/91—published 2/19/92, effective 7/1/92]</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1/15/93, Notice 11/25/92—published 2/3/93, effective 3/10/93]</w:t>
      </w:r>
    </w:p>
    <w:p>
      <w:pPr>
        <w:spacing w:before="0" w:after="0"/>
        <w:ind w:left="120"/>
        <w:jc w:val="center"/>
      </w:pPr>
      <w:r>
        <w:rPr>
          <w:rFonts w:ascii="Times New Roman" w:hAnsi="Times New Roman"/>
          <w:b w:val="false"/>
          <w:i w:val="false"/>
          <w:color w:val="000000"/>
          <w:sz w:val="21"/>
        </w:rPr>
        <w:t>[Filed 3/11/94, Notice 9/15/93—published 3/30/94, effective 5/4/94]</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7/9/98, Notice 4/22/98—published 7/29/98, effective 9/2/98]</w:t>
      </w:r>
    </w:p>
    <w:p>
      <w:pPr>
        <w:spacing w:before="0" w:after="0"/>
        <w:ind w:left="120"/>
        <w:jc w:val="center"/>
      </w:pPr>
      <w:r>
        <w:rPr>
          <w:rFonts w:ascii="Times New Roman" w:hAnsi="Times New Roman"/>
          <w:b w:val="false"/>
          <w:i w:val="false"/>
          <w:color w:val="000000"/>
          <w:sz w:val="21"/>
        </w:rPr>
        <w:t>[Filed 1/21/99, Notice 10/7/98—published 2/10/99, effective 3/17/99]</w:t>
      </w:r>
    </w:p>
    <w:p>
      <w:pPr>
        <w:spacing w:before="0" w:after="0"/>
        <w:ind w:left="120"/>
        <w:jc w:val="center"/>
      </w:pPr>
      <w:r>
        <w:rPr>
          <w:rFonts w:ascii="Times New Roman" w:hAnsi="Times New Roman"/>
          <w:b w:val="false"/>
          <w:i w:val="false"/>
          <w:color w:val="000000"/>
          <w:sz w:val="21"/>
        </w:rPr>
        <w:t>[Filed 11/12/99, Notice 10/6/99—published 12/1/99, effective 1/5/00]</w:t>
      </w:r>
    </w:p>
    <w:p>
      <w:pPr>
        <w:spacing w:before="0" w:after="0"/>
        <w:ind w:left="120"/>
        <w:jc w:val="center"/>
      </w:pPr>
      <w:r>
        <w:rPr>
          <w:rFonts w:ascii="Times New Roman" w:hAnsi="Times New Roman"/>
          <w:b w:val="false"/>
          <w:i w:val="false"/>
          <w:color w:val="000000"/>
          <w:sz w:val="21"/>
        </w:rPr>
        <w:t>[Filed 7/17/03, Notice 6/11/03—published 8/6/03, effective 9/10/03]</w:t>
      </w:r>
    </w:p>
    <w:p>
      <w:pPr>
        <w:spacing w:before="0" w:after="0"/>
        <w:ind w:left="120"/>
        <w:jc w:val="center"/>
      </w:pPr>
      <w:r>
        <w:rPr>
          <w:rFonts w:ascii="Times New Roman" w:hAnsi="Times New Roman"/>
          <w:b w:val="false"/>
          <w:i w:val="false"/>
          <w:color w:val="000000"/>
          <w:sz w:val="21"/>
        </w:rPr>
        <w:t>[Filed 1/15/04, Notice 10/1/03—published 2/4/04, effective 3/10/04]</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3/12/04, Notice 1/7/04—published 3/31/04, effective 5/5/04]</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9/9/04, Notice 8/4/04—published 9/29/04, effective 11/3/04]</w:t>
      </w:r>
    </w:p>
    <w:p>
      <w:pPr>
        <w:spacing w:before="0" w:after="0"/>
        <w:ind w:left="120"/>
        <w:jc w:val="center"/>
      </w:pPr>
      <w:r>
        <w:rPr>
          <w:rFonts w:ascii="Times New Roman" w:hAnsi="Times New Roman"/>
          <w:b w:val="false"/>
          <w:i w:val="false"/>
          <w:color w:val="000000"/>
          <w:sz w:val="21"/>
        </w:rPr>
        <w:t>[Filed 7/13/05, Notice 6/8/05—published 8/3/05, effective 9/7/05]</w:t>
      </w:r>
    </w:p>
    <w:p>
      <w:pPr>
        <w:spacing w:before="0" w:after="0"/>
        <w:ind w:left="120"/>
        <w:jc w:val="center"/>
      </w:pPr>
      <w:r>
        <w:rPr>
          <w:rFonts w:ascii="Times New Roman" w:hAnsi="Times New Roman"/>
          <w:b w:val="false"/>
          <w:i w:val="false"/>
          <w:color w:val="000000"/>
          <w:sz w:val="21"/>
        </w:rPr>
        <w:t>[Filed 9/20/06, Notice 8/2/06—published 10/11/06, effective 11/15/06]</w:t>
      </w:r>
    </w:p>
    <w:p>
      <w:pPr>
        <w:spacing w:before="0" w:after="0"/>
        <w:ind w:left="120"/>
        <w:jc w:val="center"/>
      </w:pPr>
      <w:r>
        <w:rPr>
          <w:rFonts w:ascii="Times New Roman" w:hAnsi="Times New Roman"/>
          <w:b w:val="false"/>
          <w:i w:val="false"/>
          <w:color w:val="000000"/>
          <w:sz w:val="21"/>
        </w:rPr>
        <w:t>[Filed 11/15/06, Notice 10/11/06—published 12/6/06, effective 1/10/07]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8433B</w:t>
      </w:r>
      <w:r>
        <w:rPr>
          <w:rFonts w:ascii="Times New Roman" w:hAnsi="Times New Roman"/>
          <w:b w:val="false"/>
          <w:i w:val="false"/>
          <w:color w:val="000000"/>
          <w:sz w:val="21"/>
        </w:rPr>
        <w:t xml:space="preserve"> (Notice ARC 8190B, IAB 10/7/09)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[Filed ARC 0663C</w:t>
      </w:r>
      <w:r>
        <w:rPr>
          <w:rFonts w:ascii="Times New Roman" w:hAnsi="Times New Roman"/>
          <w:b w:val="false"/>
          <w:i w:val="false"/>
          <w:color w:val="000000"/>
          <w:sz w:val="21"/>
        </w:rPr>
        <w:t xml:space="preserve"> (Notice ARC 0513C, IAB 12/12/12)</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0766C</w:t>
      </w:r>
      <w:r>
        <w:rPr>
          <w:rFonts w:ascii="Times New Roman" w:hAnsi="Times New Roman"/>
          <w:b w:val="false"/>
          <w:i w:val="false"/>
          <w:color w:val="000000"/>
          <w:sz w:val="21"/>
        </w:rPr>
        <w:t xml:space="preserve"> (Notice ARC 0601C,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1048C</w:t>
      </w:r>
      <w:r>
        <w:rPr>
          <w:rFonts w:ascii="Times New Roman" w:hAnsi="Times New Roman"/>
          <w:b w:val="false"/>
          <w:i w:val="false"/>
          <w:color w:val="000000"/>
          <w:sz w:val="21"/>
        </w:rPr>
        <w:t xml:space="preserve"> (Notice ARC 0923C, IAB 8/7/13)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1398C</w:t>
      </w:r>
      <w:r>
        <w:rPr>
          <w:rFonts w:ascii="Times New Roman" w:hAnsi="Times New Roman"/>
          <w:b w:val="false"/>
          <w:i w:val="false"/>
          <w:color w:val="000000"/>
          <w:sz w:val="21"/>
        </w:rPr>
        <w:t xml:space="preserve"> (Notice ARC 1313C,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1752C</w:t>
      </w:r>
      <w:r>
        <w:rPr>
          <w:rFonts w:ascii="Times New Roman" w:hAnsi="Times New Roman"/>
          <w:b w:val="false"/>
          <w:i w:val="false"/>
          <w:color w:val="000000"/>
          <w:sz w:val="21"/>
        </w:rPr>
        <w:t xml:space="preserve"> (Notice ARC 1648C,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[Editorial change: IAC Supplement 1/21/15]</w:t>
      </w:r>
    </w:p>
    <w:p>
      <w:pPr>
        <w:spacing w:before="0" w:after="0"/>
        <w:ind w:left="120"/>
        <w:jc w:val="center"/>
      </w:pPr>
      <w:r>
        <w:rPr>
          <w:rFonts w:ascii="Times New Roman" w:hAnsi="Times New Roman"/>
          <w:b w:val="false"/>
          <w:i w:val="false"/>
          <w:color w:val="000000"/>
          <w:sz w:val="21"/>
        </w:rPr>
        <w:t>[Filed ARC 2020C</w:t>
      </w:r>
      <w:r>
        <w:rPr>
          <w:rFonts w:ascii="Times New Roman" w:hAnsi="Times New Roman"/>
          <w:b w:val="false"/>
          <w:i w:val="false"/>
          <w:color w:val="000000"/>
          <w:sz w:val="21"/>
        </w:rPr>
        <w:t xml:space="preserve"> (Notice ARC 1938C, IAB 4/1/15)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2560C</w:t>
      </w:r>
      <w:r>
        <w:rPr>
          <w:rFonts w:ascii="Times New Roman" w:hAnsi="Times New Roman"/>
          <w:b w:val="false"/>
          <w:i w:val="false"/>
          <w:color w:val="000000"/>
          <w:sz w:val="21"/>
        </w:rPr>
        <w:t xml:space="preserve"> (Notice ARC 2303C, IAB 12/9/15)</w:t>
      </w:r>
      <w:r>
        <w:rPr>
          <w:rFonts w:ascii="Times New Roman" w:hAnsi="Times New Roman"/>
          <w:b w:val="false"/>
          <w:i w:val="false"/>
          <w:color w:val="000000"/>
          <w:sz w:val="21"/>
        </w:rPr>
        <w:t>, IAB 6/8/16, effective 7/13/16]</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5421C</w:t>
      </w:r>
      <w:r>
        <w:rPr>
          <w:rFonts w:ascii="Times New Roman" w:hAnsi="Times New Roman"/>
          <w:b w:val="false"/>
          <w:i w:val="false"/>
          <w:color w:val="000000"/>
          <w:sz w:val="21"/>
        </w:rPr>
        <w:t xml:space="preserve"> (Notice ARC 5335C,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5711C</w:t>
      </w:r>
      <w:r>
        <w:rPr>
          <w:rFonts w:ascii="Times New Roman" w:hAnsi="Times New Roman"/>
          <w:b w:val="false"/>
          <w:i w:val="false"/>
          <w:color w:val="000000"/>
          <w:sz w:val="21"/>
        </w:rPr>
        <w:t xml:space="preserve"> (Notice ARC 5567C, IAB 4/21/21)</w:t>
      </w:r>
      <w:r>
        <w:rPr>
          <w:rFonts w:ascii="Times New Roman" w:hAnsi="Times New Roman"/>
          <w:b w:val="false"/>
          <w:i w:val="false"/>
          <w:color w:val="000000"/>
          <w:sz w:val="21"/>
        </w:rPr>
        <w:t>, IAB 6/16/21, effective 7/21/21]</w:t>
      </w:r>
      <w:r>
        <w:br/>
      </w: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7033C</w:t>
      </w:r>
      <w:r>
        <w:rPr>
          <w:rFonts w:ascii="Times New Roman" w:hAnsi="Times New Roman"/>
          <w:b w:val="false"/>
          <w:i w:val="false"/>
          <w:color w:val="000000"/>
          <w:sz w:val="21"/>
        </w:rPr>
        <w:t xml:space="preserve"> (Notice ARC 6908C, IAB 2/22/23)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[Editorial change: IAC Supplement 6/28/23]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470—58.15(2)</w:t>
      </w:r>
      <w:r>
        <w:rPr>
          <w:rFonts w:ascii="Times New Roman" w:hAnsi="Times New Roman"/>
          <w:b w:val="false"/>
          <w:i/>
          <w:color w:val="000000"/>
          <w:sz w:val="22"/>
        </w:rPr>
        <w:t>“c”</w:t>
      </w:r>
      <w:r>
        <w:rPr>
          <w:rFonts w:ascii="Times New Roman" w:hAnsi="Times New Roman"/>
          <w:b w:val="false"/>
          <w:i w:val="false"/>
          <w:color w:val="000000"/>
          <w:sz w:val="22"/>
        </w:rPr>
        <w:t xml:space="preserve"> delayed 70 days by the Administrative Rules Review Committee, IAB 2/26/86.</w:t>
      </w:r>
      <w:r>
        <w:br/>
      </w:r>
      <w:r>
        <w:rPr>
          <w:rFonts w:ascii="Times New Roman" w:hAnsi="Times New Roman"/>
          <w:b w:val="false"/>
          <w:i w:val="false"/>
          <w:color w:val="000000"/>
          <w:sz w:val="22"/>
        </w:rPr>
        <w:t>Effective date of 470—58.15(2)</w:t>
      </w:r>
      <w:r>
        <w:rPr>
          <w:rFonts w:ascii="Times New Roman" w:hAnsi="Times New Roman"/>
          <w:b w:val="false"/>
          <w:i/>
          <w:color w:val="000000"/>
          <w:sz w:val="22"/>
        </w:rPr>
        <w:t>“c”</w:t>
      </w:r>
      <w:r>
        <w:rPr>
          <w:rFonts w:ascii="Times New Roman" w:hAnsi="Times New Roman"/>
          <w:b w:val="false"/>
          <w:i w:val="false"/>
          <w:color w:val="000000"/>
          <w:sz w:val="22"/>
        </w:rPr>
        <w:t xml:space="preserve"> delayed until the expiration of 45 calendar days into the 1987 session of the General Assembly pursuant to Iowa Code section </w:t>
      </w:r>
      <w:hyperlink r:id="rId90">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IAB 6/4/86.</w:t>
      </w:r>
    </w:p>
    <w:p>
      <w:pPr>
        <w:pBdr>
          <w:bottom w:space="2"/>
        </w:pBdr>
        <w:spacing w:before="0" w:after="0"/>
        <w:ind w:left="120"/>
        <w:jc w:val="both"/>
      </w:pPr>
      <w:r>
        <w:rPr>
          <w:rFonts w:ascii="Times New Roman" w:hAnsi="Times New Roman"/>
          <w:b w:val="false"/>
          <w:i w:val="false"/>
          <w:color w:val="000000"/>
          <w:sz w:val="22"/>
        </w:rPr>
        <w:t>See IAB, Inspections and Appeals Department.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1.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52.pdf" Type="http://schemas.openxmlformats.org/officeDocument/2006/relationships/hyperlink" Id="rId7"/>
    <Relationship TargetMode="External" Target="https://www.legis.iowa.gov/docs/iac/rule/481.58.13.pdf" Type="http://schemas.openxmlformats.org/officeDocument/2006/relationships/hyperlink" Id="rId8"/>
    <Relationship TargetMode="External" Target="https://www.legis.iowa.gov/docs/iac/chapter/481.58.pdf" Type="http://schemas.openxmlformats.org/officeDocument/2006/relationships/hyperlink" Id="rId9"/>
    <Relationship TargetMode="External" Target="https://www.legis.iowa.gov/docs/iac/chapter/481.61.pdf" Type="http://schemas.openxmlformats.org/officeDocument/2006/relationships/hyperlink" Id="rId10"/>
    <Relationship TargetMode="External" Target="https://www.legis.iowa.gov/docs/iac/rule/481.61.2.pdf" Type="http://schemas.openxmlformats.org/officeDocument/2006/relationships/hyperlink" Id="rId11"/>
    <Relationship TargetMode="External" Target="https://www.legis.iowa.gov/docs/iac/chapter/481.58.pdf" Type="http://schemas.openxmlformats.org/officeDocument/2006/relationships/hyperlink" Id="rId12"/>
    <Relationship TargetMode="External" Target="https://www.legis.iowa.gov/docs/iac/chapter/481.61.pdf" Type="http://schemas.openxmlformats.org/officeDocument/2006/relationships/hyperlink" Id="rId13"/>
    <Relationship TargetMode="External" Target="https://www.legis.iowa.gov/docs/iac/rule/481.61.1.pdf" Type="http://schemas.openxmlformats.org/officeDocument/2006/relationships/hyperlink" Id="rId14"/>
    <Relationship TargetMode="External" Target="https://www.legis.iowa.gov/docs/ico/chapter/135.pdf" Type="http://schemas.openxmlformats.org/officeDocument/2006/relationships/hyperlink" Id="rId15"/>
    <Relationship TargetMode="External" Target="https://www.legis.iowa.gov/docs/iac/chapter/481.61.pdf" Type="http://schemas.openxmlformats.org/officeDocument/2006/relationships/hyperlink" Id="rId16"/>
    <Relationship TargetMode="External" Target="https://www.legis.iowa.gov/docs/iac/rule/481.50.6.pdf" Type="http://schemas.openxmlformats.org/officeDocument/2006/relationships/hyperlink" Id="rId17"/>
    <Relationship TargetMode="External" Target="https://www.legis.iowa.gov/docs/ico/chapter/135C.pdf" Type="http://schemas.openxmlformats.org/officeDocument/2006/relationships/hyperlink" Id="rId18"/>
    <Relationship TargetMode="External" Target="https://www.legis.iowa.gov/docs/iac/chapter/481.59.pdf" Type="http://schemas.openxmlformats.org/officeDocument/2006/relationships/hyperlink" Id="rId19"/>
    <Relationship TargetMode="External" Target="http://www.cdc.gov" Type="http://schemas.openxmlformats.org/officeDocument/2006/relationships/hyperlink" Id="rId20"/>
    <Relationship TargetMode="External" Target="https://www.legis.iowa.gov/docs/iac/rule/441.81.13.pdf" Type="http://schemas.openxmlformats.org/officeDocument/2006/relationships/hyperlink" Id="rId21"/>
    <Relationship TargetMode="External" Target="https://www.legis.iowa.gov/docs/iac/rule/441.81.16.pdf" Type="http://schemas.openxmlformats.org/officeDocument/2006/relationships/hyperlink" Id="rId22"/>
    <Relationship TargetMode="External" Target="https://www.legis.iowa.gov/docs/iac/rule/441.81.13.pdf" Type="http://schemas.openxmlformats.org/officeDocument/2006/relationships/hyperlink" Id="rId23"/>
    <Relationship TargetMode="External" Target="https://www.legis.iowa.gov/docs/iac/rule/441.81.16.pdf" Type="http://schemas.openxmlformats.org/officeDocument/2006/relationships/hyperlink" Id="rId24"/>
    <Relationship TargetMode="External" Target="https://www.legis.iowa.gov/docs/ico/chapter/135C.33.pdf" Type="http://schemas.openxmlformats.org/officeDocument/2006/relationships/hyperlink" Id="rId25"/>
    <Relationship TargetMode="External" Target="https://www.legis.iowa.gov/docs/iac/rule/481.50.9.pdf" Type="http://schemas.openxmlformats.org/officeDocument/2006/relationships/hyperlink" Id="rId26"/>
    <Relationship TargetMode="External" Target="https://www.legis.iowa.gov/docs/ico/chapter/249A.pdf" Type="http://schemas.openxmlformats.org/officeDocument/2006/relationships/hyperlink" Id="rId27"/>
    <Relationship TargetMode="External" Target="https://www.legis.iowa.gov/docs/ico/chapter/249A.pdf" Type="http://schemas.openxmlformats.org/officeDocument/2006/relationships/hyperlink" Id="rId28"/>
    <Relationship TargetMode="External" Target="https://www.legis.iowa.gov/docs/iac/rule/481.58.15.pdf" Type="http://schemas.openxmlformats.org/officeDocument/2006/relationships/hyperlink" Id="rId29"/>
    <Relationship TargetMode="External" Target="https://www.legis.iowa.gov/docs/iac/rule/481.58.13.pdf" Type="http://schemas.openxmlformats.org/officeDocument/2006/relationships/hyperlink" Id="rId30"/>
    <Relationship TargetMode="External" Target="https://www.legis.iowa.gov/docs/iac/rule/481.58.14.pdf" Type="http://schemas.openxmlformats.org/officeDocument/2006/relationships/hyperlink" Id="rId31"/>
    <Relationship TargetMode="External" Target="https://www.legis.iowa.gov/docs/ico/chapter/135C.pdf" Type="http://schemas.openxmlformats.org/officeDocument/2006/relationships/hyperlink" Id="rId32"/>
    <Relationship TargetMode="External" Target="https://www.legis.iowa.gov/docs/iac/rule/481.58.21.pdf" Type="http://schemas.openxmlformats.org/officeDocument/2006/relationships/hyperlink" Id="rId33"/>
    <Relationship TargetMode="External" Target="https://www.legis.iowa.gov/docs/ico/chapter/137F.2.pdf" Type="http://schemas.openxmlformats.org/officeDocument/2006/relationships/hyperlink" Id="rId34"/>
    <Relationship TargetMode="External" Target="https://www.legis.iowa.gov/docs/ico/chapter/137F.2.pdf" Type="http://schemas.openxmlformats.org/officeDocument/2006/relationships/hyperlink" Id="rId35"/>
    <Relationship TargetMode="External" Target="https://www.legis.iowa.gov/docs/iac/chapter/481.31.pdf" Type="http://schemas.openxmlformats.org/officeDocument/2006/relationships/hyperlink" Id="rId36"/>
    <Relationship TargetMode="External" Target="https://www.legis.iowa.gov/docs/ico/chapter/152A.pdf" Type="http://schemas.openxmlformats.org/officeDocument/2006/relationships/hyperlink" Id="rId37"/>
    <Relationship TargetMode="External" Target="https://www.legis.iowa.gov/docs/ico/chapter/137F.2.pdf" Type="http://schemas.openxmlformats.org/officeDocument/2006/relationships/hyperlink" Id="rId38"/>
    <Relationship TargetMode="External" Target="https://www.legis.iowa.gov/docs/iac/chapter/470.58.pdf" Type="http://schemas.openxmlformats.org/officeDocument/2006/relationships/hyperlink" Id="rId39"/>
    <Relationship TargetMode="External" Target="https://www.legis.iowa.gov/docs/iac/rule/481.58.35.pdf" Type="http://schemas.openxmlformats.org/officeDocument/2006/relationships/hyperlink" Id="rId40"/>
    <Relationship TargetMode="External" Target="https://www.legis.iowa.gov/docs/iac/rule/481.58.39.pdf" Type="http://schemas.openxmlformats.org/officeDocument/2006/relationships/hyperlink" Id="rId41"/>
    <Relationship TargetMode="External" Target="https://www.legis.iowa.gov/docs/iac/rule/481.58.39.pdf" Type="http://schemas.openxmlformats.org/officeDocument/2006/relationships/hyperlink" Id="rId42"/>
    <Relationship TargetMode="External" Target="https://www.legis.iowa.gov/docs/ico/chapter/229.13.pdf" Type="http://schemas.openxmlformats.org/officeDocument/2006/relationships/hyperlink" Id="rId43"/>
    <Relationship TargetMode="External" Target="https://www.legis.iowa.gov/docs/ico/chapter/229.1.pdf" Type="http://schemas.openxmlformats.org/officeDocument/2006/relationships/hyperlink" Id="rId44"/>
    <Relationship TargetMode="External" Target="https://www.legis.iowa.gov/docs/iac/rule/481.58.13.pdf" Type="http://schemas.openxmlformats.org/officeDocument/2006/relationships/hyperlink" Id="rId45"/>
    <Relationship TargetMode="External" Target="https://www.legis.iowa.gov/docs/ico/chapter/229.pdf" Type="http://schemas.openxmlformats.org/officeDocument/2006/relationships/hyperlink" Id="rId46"/>
    <Relationship TargetMode="External" Target="https://www.legis.iowa.gov/docs/ico/chapter/135C.23.pdf" Type="http://schemas.openxmlformats.org/officeDocument/2006/relationships/hyperlink" Id="rId47"/>
    <Relationship TargetMode="External" Target="https://www.legis.iowa.gov/docs/ico/chapter/229.pdf" Type="http://schemas.openxmlformats.org/officeDocument/2006/relationships/hyperlink" Id="rId48"/>
    <Relationship TargetMode="External" Target="https://www.legis.iowa.gov/docs/ico/chapter/249A.pdf" Type="http://schemas.openxmlformats.org/officeDocument/2006/relationships/hyperlink" Id="rId49"/>
    <Relationship TargetMode="External" Target="https://www.legis.iowa.gov/docs/ico/chapter/249A.pdf" Type="http://schemas.openxmlformats.org/officeDocument/2006/relationships/hyperlink" Id="rId50"/>
    <Relationship TargetMode="External" Target="https://www.legis.iowa.gov/docs/iac/rule/481.58.40.pdf" Type="http://schemas.openxmlformats.org/officeDocument/2006/relationships/hyperlink" Id="rId51"/>
    <Relationship TargetMode="External" Target="https://www.legis.iowa.gov/docs/iac/rule/481.58.40.pdf" Type="http://schemas.openxmlformats.org/officeDocument/2006/relationships/hyperlink" Id="rId52"/>
    <Relationship TargetMode="External" Target="https://www.legis.iowa.gov/docs/iac/rule/481.58.40.pdf" Type="http://schemas.openxmlformats.org/officeDocument/2006/relationships/hyperlink" Id="rId53"/>
    <Relationship TargetMode="External" Target="https://www.legis.iowa.gov/docs/ico/chapter/17A.pdf" Type="http://schemas.openxmlformats.org/officeDocument/2006/relationships/hyperlink" Id="rId54"/>
    <Relationship TargetMode="External" Target="https://www.legis.iowa.gov/docs/iac/chapter/481.9.pdf" Type="http://schemas.openxmlformats.org/officeDocument/2006/relationships/hyperlink" Id="rId55"/>
    <Relationship TargetMode="External" Target="https://www.legis.iowa.gov/docs/iac/rule/481.58.40.pdf" Type="http://schemas.openxmlformats.org/officeDocument/2006/relationships/hyperlink" Id="rId56"/>
    <Relationship TargetMode="External" Target="https://www.legis.iowa.gov/docs/iac/rule/481.58.40.pdf" Type="http://schemas.openxmlformats.org/officeDocument/2006/relationships/hyperlink" Id="rId57"/>
    <Relationship TargetMode="External" Target="https://www.legis.iowa.gov/docs/iac/rule/481.58.40.pdf" Type="http://schemas.openxmlformats.org/officeDocument/2006/relationships/hyperlink" Id="rId58"/>
    <Relationship TargetMode="External" Target="https://www.legis.iowa.gov/docs/ico/chapter/228.1.pdf" Type="http://schemas.openxmlformats.org/officeDocument/2006/relationships/hyperlink" Id="rId59"/>
    <Relationship TargetMode="External" Target="https://www.legis.iowa.gov/docs/iac/rule/481.58.40.pdf" Type="http://schemas.openxmlformats.org/officeDocument/2006/relationships/hyperlink" Id="rId60"/>
    <Relationship TargetMode="External" Target="https://www.legis.iowa.gov/docs/iac/rule/481.58.40.pdf" Type="http://schemas.openxmlformats.org/officeDocument/2006/relationships/hyperlink" Id="rId61"/>
    <Relationship TargetMode="External" Target="https://www.legis.iowa.gov/docs/iac/rule/481.58.40.pdf" Type="http://schemas.openxmlformats.org/officeDocument/2006/relationships/hyperlink" Id="rId62"/>
    <Relationship TargetMode="External" Target="https://www.legis.iowa.gov/docs/ico/chapter/135C.46.pdf" Type="http://schemas.openxmlformats.org/officeDocument/2006/relationships/hyperlink" Id="rId63"/>
    <Relationship TargetMode="External" Target="https://www.legis.iowa.gov/docs/ico/chapter/135C.24.pdf" Type="http://schemas.openxmlformats.org/officeDocument/2006/relationships/hyperlink" Id="rId64"/>
    <Relationship TargetMode="External" Target="https://www.legis.iowa.gov/docs/ico/chapter/135C.24.pdf" Type="http://schemas.openxmlformats.org/officeDocument/2006/relationships/hyperlink" Id="rId65"/>
    <Relationship TargetMode="External" Target="https://www.legis.iowa.gov/docs/ico/chapter/235E.pdf" Type="http://schemas.openxmlformats.org/officeDocument/2006/relationships/hyperlink" Id="rId66"/>
    <Relationship TargetMode="External" Target="https://www.legis.iowa.gov/docs/iac/chapter/481.52.pdf" Type="http://schemas.openxmlformats.org/officeDocument/2006/relationships/hyperlink" Id="rId67"/>
    <Relationship TargetMode="External" Target="https://www.legis.iowa.gov/docs/ico/chapter/135C.14.pdf" Type="http://schemas.openxmlformats.org/officeDocument/2006/relationships/hyperlink" Id="rId68"/>
    <Relationship TargetMode="External" Target="https://www.legis.iowa.gov/docs/ico/chapter/235B.3.pdf" Type="http://schemas.openxmlformats.org/officeDocument/2006/relationships/hyperlink" Id="rId69"/>
    <Relationship TargetMode="External" Target="https://www.legis.iowa.gov/docs/ico/chapter/235B.3.pdf" Type="http://schemas.openxmlformats.org/officeDocument/2006/relationships/hyperlink" Id="rId70"/>
    <Relationship TargetMode="External" Target="https://www.legis.iowa.gov/docs/ico/chapter/35D.14.pdf" Type="http://schemas.openxmlformats.org/officeDocument/2006/relationships/hyperlink" Id="rId71"/>
    <Relationship TargetMode="External" Target="https://www.legis.iowa.gov/docs/ico/chapter/347B.5.pdf" Type="http://schemas.openxmlformats.org/officeDocument/2006/relationships/hyperlink" Id="rId72"/>
    <Relationship TargetMode="External" Target="https://www.legis.iowa.gov/docs/ico/chapter/144A.pdf" Type="http://schemas.openxmlformats.org/officeDocument/2006/relationships/hyperlink" Id="rId73"/>
    <Relationship TargetMode="External" Target="https://www.legis.iowa.gov/docs/iac/chapter/481.61.pdf" Type="http://schemas.openxmlformats.org/officeDocument/2006/relationships/hyperlink" Id="rId74"/>
    <Relationship TargetMode="External" Target="https://www.legis.iowa.gov/docs/ico/chapter/135C.pdf" Type="http://schemas.openxmlformats.org/officeDocument/2006/relationships/hyperlink" Id="rId75"/>
    <Relationship TargetMode="External" Target="https://www.legis.iowa.gov/docs/iac/chapter/481.50.pdf" Type="http://schemas.openxmlformats.org/officeDocument/2006/relationships/hyperlink" Id="rId76"/>
    <Relationship TargetMode="External" Target="https://www.legis.iowa.gov/docs/iac/rule/481.58.55.pdf" Type="http://schemas.openxmlformats.org/officeDocument/2006/relationships/hyperlink" Id="rId77"/>
    <Relationship TargetMode="External" Target="https://www.legis.iowa.gov/docs/iac/chapter/481.61.pdf" Type="http://schemas.openxmlformats.org/officeDocument/2006/relationships/hyperlink" Id="rId78"/>
    <Relationship TargetMode="External" Target="https://www.legis.iowa.gov/docs/iac/rule/481.58.40.pdf" Type="http://schemas.openxmlformats.org/officeDocument/2006/relationships/hyperlink" Id="rId79"/>
    <Relationship TargetMode="External" Target="https://www.legis.iowa.gov/docs/iac/rule/481.58.13.pdf" Type="http://schemas.openxmlformats.org/officeDocument/2006/relationships/hyperlink" Id="rId80"/>
    <Relationship TargetMode="External" Target="https://www.legis.iowa.gov/docs/iac/rule/481.58.13.pdf" Type="http://schemas.openxmlformats.org/officeDocument/2006/relationships/hyperlink" Id="rId81"/>
    <Relationship TargetMode="External" Target="https://www.legis.iowa.gov/docs/iac/rule/481.58.13.pdf" Type="http://schemas.openxmlformats.org/officeDocument/2006/relationships/hyperlink" Id="rId82"/>
    <Relationship TargetMode="External" Target="https://www.legis.iowa.gov/docs/iac/rule/481.58.57.pdf" Type="http://schemas.openxmlformats.org/officeDocument/2006/relationships/hyperlink" Id="rId83"/>
    <Relationship TargetMode="External" Target="https://www.legis.iowa.gov/docs/ico/chapter/10A.402.pdf" Type="http://schemas.openxmlformats.org/officeDocument/2006/relationships/hyperlink" Id="rId84"/>
    <Relationship TargetMode="External" Target="https://www.legis.iowa.gov/docs/ico/chapter/135C.6.pdf" Type="http://schemas.openxmlformats.org/officeDocument/2006/relationships/hyperlink" Id="rId85"/>
    <Relationship TargetMode="External" Target="https://www.legis.iowa.gov/docs/ico/chapter/135C.14.pdf" Type="http://schemas.openxmlformats.org/officeDocument/2006/relationships/hyperlink" Id="rId86"/>
    <Relationship TargetMode="External" Target="https://www.legis.iowa.gov/docs/ico/chapter/135C.32.pdf" Type="http://schemas.openxmlformats.org/officeDocument/2006/relationships/hyperlink" Id="rId87"/>
    <Relationship TargetMode="External" Target="https://www.legis.iowa.gov/docs/ico/chapter/135C.36.pdf" Type="http://schemas.openxmlformats.org/officeDocument/2006/relationships/hyperlink" Id="rId88"/>
    <Relationship TargetMode="External" Target="https://www.legis.iowa.gov/docs/ico/chapter/227.4.pdf" Type="http://schemas.openxmlformats.org/officeDocument/2006/relationships/hyperlink" Id="rId89"/>
    <Relationship TargetMode="External" Target="https://www.legis.iowa.gov/docs/ico/chapter/17A.8.pdf" Type="http://schemas.openxmlformats.org/officeDocument/2006/relationships/hyperlink" Id="rId9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