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575</w:t>
      </w:r>
    </w:p>
    <w:p>
      <w:pPr>
        <w:spacing w:before="0" w:after="0"/>
        <w:ind w:left="120"/>
        <w:jc w:val="center"/>
      </w:pPr>
      <w:r>
        <w:rPr>
          <w:rFonts w:ascii="Times New Roman" w:hAnsi="Times New Roman"/>
          <w:b w:val="false"/>
          <w:i w:val="false"/>
          <w:color w:val="000000"/>
          <w:sz w:val="21"/>
        </w:rPr>
        <w:t xml:space="preserve">DENTAL ASSISTANTS, DENTAL RADIOGRAPHY QUALIFICATIONS, </w:t>
      </w:r>
      <w:r>
        <w:br/>
      </w:r>
      <w:r>
        <w:rPr>
          <w:rFonts w:ascii="Times New Roman" w:hAnsi="Times New Roman"/>
          <w:b w:val="false"/>
          <w:i w:val="false"/>
          <w:color w:val="000000"/>
          <w:sz w:val="21"/>
        </w:rPr>
        <w:t>AND DENTAL LABORATORY TECHNICIANS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4/9/30</w:t>
      </w:r>
    </w:p>
    <w:p>
      <w:pPr>
        <w:spacing w:before="0" w:after="0"/>
        <w:ind w:left="120"/>
        <w:jc w:val="both"/>
      </w:pPr>
      <w:r>
        <w:rPr>
          <w:rFonts w:ascii="Times New Roman" w:hAnsi="Times New Roman"/>
          <w:b/>
          <w:i w:val="false"/>
          <w:color w:val="000000"/>
          <w:sz w:val="22"/>
        </w:rPr>
        <w:t>481—575.1</w:t>
      </w:r>
      <w:r>
        <w:rPr>
          <w:rFonts w:ascii="Times New Roman" w:hAnsi="Times New Roman"/>
          <w:b/>
          <w:i w:val="false"/>
          <w:color w:val="000000"/>
          <w:sz w:val="22"/>
        </w:rPr>
        <w:t xml:space="preserve">(153) </w:t>
      </w:r>
      <w:r>
        <w:rPr>
          <w:rFonts w:ascii="Times New Roman" w:hAnsi="Times New Roman"/>
          <w:b/>
          <w:i w:val="false"/>
          <w:color w:val="000000"/>
          <w:sz w:val="22"/>
        </w:rPr>
        <w:t xml:space="preserve">Registration required. </w:t>
      </w:r>
      <w:r>
        <w:rPr>
          <w:rFonts w:ascii="Times New Roman" w:hAnsi="Times New Roman"/>
          <w:b w:val="false"/>
          <w:i w:val="false"/>
          <w:color w:val="000000"/>
          <w:sz w:val="22"/>
        </w:rPr>
        <w:t xml:space="preserve">A person shall not practice dental assisting without a current registration issued by the board pursuant to rule </w:t>
      </w:r>
      <w:hyperlink r:id="rId5">
        <w:r>
          <w:rPr>
            <w:rStyle w:val="Hyperlink"/>
            <w:rFonts w:ascii="Times New Roman" w:hAnsi="Times New Roman"/>
            <w:b w:val="false"/>
            <w:i w:val="false"/>
            <w:color w:val="000000"/>
            <w:sz w:val="22"/>
          </w:rPr>
          <w:t>481—571.5</w:t>
        </w:r>
      </w:hyperlink>
      <w:r>
        <w:rPr>
          <w:rFonts w:ascii="Times New Roman" w:hAnsi="Times New Roman"/>
          <w:b w:val="false"/>
          <w:i w:val="false"/>
          <w:color w:val="000000"/>
          <w:sz w:val="22"/>
        </w:rPr>
        <w:t>(147,153). The following individuals are exempt from the requirements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575.1(1)</w:t>
      </w:r>
      <w:r>
        <w:rPr>
          <w:rFonts w:ascii="Times New Roman" w:hAnsi="Times New Roman"/>
          <w:b w:val="false"/>
          <w:i w:val="false"/>
          <w:color w:val="000000"/>
          <w:sz w:val="22"/>
        </w:rPr>
        <w:t> </w:t>
      </w:r>
      <w:r>
        <w:rPr>
          <w:rFonts w:ascii="Times New Roman" w:hAnsi="Times New Roman"/>
          <w:b w:val="false"/>
          <w:i w:val="false"/>
          <w:color w:val="000000"/>
          <w:sz w:val="22"/>
        </w:rPr>
        <w:t>Students enrolled in an accredited dental, dental hygiene, or dental assisting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575.1(2)</w:t>
      </w:r>
      <w:r>
        <w:rPr>
          <w:rFonts w:ascii="Times New Roman" w:hAnsi="Times New Roman"/>
          <w:b w:val="false"/>
          <w:i w:val="false"/>
          <w:color w:val="000000"/>
          <w:sz w:val="22"/>
        </w:rPr>
        <w:t> </w:t>
      </w:r>
      <w:r>
        <w:rPr>
          <w:rFonts w:ascii="Times New Roman" w:hAnsi="Times New Roman"/>
          <w:b w:val="false"/>
          <w:i w:val="false"/>
          <w:color w:val="000000"/>
          <w:sz w:val="22"/>
        </w:rPr>
        <w:t xml:space="preserve">Dental assistant trainees who are meeting the requirements for registration pursuant to Iowa Code section </w:t>
      </w:r>
      <w:hyperlink r:id="rId6">
        <w:r>
          <w:rPr>
            <w:rStyle w:val="Hyperlink"/>
            <w:rFonts w:ascii="Times New Roman" w:hAnsi="Times New Roman"/>
            <w:b w:val="false"/>
            <w:i w:val="false"/>
            <w:color w:val="000000"/>
            <w:sz w:val="22"/>
          </w:rPr>
          <w:t>153.39</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575.1(3)</w:t>
      </w:r>
      <w:r>
        <w:rPr>
          <w:rFonts w:ascii="Times New Roman" w:hAnsi="Times New Roman"/>
          <w:b w:val="false"/>
          <w:i w:val="false"/>
          <w:color w:val="000000"/>
          <w:sz w:val="22"/>
        </w:rPr>
        <w:t> </w:t>
      </w:r>
      <w:r>
        <w:rPr>
          <w:rFonts w:ascii="Times New Roman" w:hAnsi="Times New Roman"/>
          <w:b w:val="false"/>
          <w:i w:val="false"/>
          <w:color w:val="000000"/>
          <w:sz w:val="22"/>
        </w:rPr>
        <w:t>Persons who are actively licensed in Iowa to practice dental hygiene or nursing and who are engaged in the practice of said profession.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8989C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481—575.2</w:t>
      </w:r>
      <w:r>
        <w:rPr>
          <w:rFonts w:ascii="Times New Roman" w:hAnsi="Times New Roman"/>
          <w:b/>
          <w:i w:val="false"/>
          <w:color w:val="000000"/>
          <w:sz w:val="22"/>
        </w:rPr>
        <w:t xml:space="preserve">(136C,153) </w:t>
      </w:r>
      <w:r>
        <w:rPr>
          <w:rFonts w:ascii="Times New Roman" w:hAnsi="Times New Roman"/>
          <w:b/>
          <w:i w:val="false"/>
          <w:color w:val="000000"/>
          <w:sz w:val="22"/>
        </w:rPr>
        <w:t xml:space="preserve">Qualification required.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575.2(1)</w:t>
      </w:r>
      <w:r>
        <w:rPr>
          <w:rFonts w:ascii="Times New Roman" w:hAnsi="Times New Roman"/>
          <w:b w:val="false"/>
          <w:i w:val="false"/>
          <w:color w:val="000000"/>
          <w:sz w:val="22"/>
        </w:rPr>
        <w:t> </w:t>
      </w:r>
      <w:r>
        <w:rPr>
          <w:rFonts w:ascii="Times New Roman" w:hAnsi="Times New Roman"/>
          <w:b w:val="false"/>
          <w:i w:val="false"/>
          <w:color w:val="000000"/>
          <w:sz w:val="22"/>
        </w:rPr>
        <w:t>A person who is not otherwise actively licensed by the board shall not participate in dental radiography unless the person holds an active registration or nursing license and holds an active radiography qualification issued by the board and a dentist provides general supervision.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student enrolled in an accredited dental, dental hygiene, or dental assisting program who, as part of the student’s course of study, applies ionizing radiation is exempt from the requirements of this rule;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Dental assistants or Iowa-licensed nurses who are engaging in on-the-job training in dental radiography are exempt from the requirements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575.2(2)</w:t>
      </w:r>
      <w:r>
        <w:rPr>
          <w:rFonts w:ascii="Times New Roman" w:hAnsi="Times New Roman"/>
          <w:b w:val="false"/>
          <w:i w:val="false"/>
          <w:color w:val="000000"/>
          <w:sz w:val="22"/>
        </w:rPr>
        <w:t> </w:t>
      </w:r>
      <w:r>
        <w:rPr>
          <w:rFonts w:ascii="Times New Roman" w:hAnsi="Times New Roman"/>
          <w:b w:val="false"/>
          <w:i w:val="false"/>
          <w:color w:val="000000"/>
          <w:sz w:val="22"/>
        </w:rPr>
        <w:t xml:space="preserve">Any individual except a licensed dentist or a licensed dental hygienist who participates in dental radiography in violation of this chapter or Iowa Code chapter </w:t>
      </w:r>
      <w:hyperlink r:id="rId7">
        <w:r>
          <w:rPr>
            <w:rStyle w:val="Hyperlink"/>
            <w:rFonts w:ascii="Times New Roman" w:hAnsi="Times New Roman"/>
            <w:b w:val="false"/>
            <w:i w:val="false"/>
            <w:color w:val="000000"/>
            <w:sz w:val="22"/>
          </w:rPr>
          <w:t>136C</w:t>
        </w:r>
      </w:hyperlink>
      <w:r>
        <w:rPr>
          <w:rFonts w:ascii="Times New Roman" w:hAnsi="Times New Roman"/>
          <w:b w:val="false"/>
          <w:i w:val="false"/>
          <w:color w:val="000000"/>
          <w:sz w:val="22"/>
        </w:rPr>
        <w:t xml:space="preserve"> may be subject to the criminal and civil penalties set forth in Iowa Code chapter </w:t>
      </w:r>
      <w:hyperlink r:id="rId8">
        <w:r>
          <w:rPr>
            <w:rStyle w:val="Hyperlink"/>
            <w:rFonts w:ascii="Times New Roman" w:hAnsi="Times New Roman"/>
            <w:b w:val="false"/>
            <w:i w:val="false"/>
            <w:color w:val="000000"/>
            <w:sz w:val="22"/>
          </w:rPr>
          <w:t>136C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575.2(3)</w:t>
      </w:r>
      <w:r>
        <w:rPr>
          <w:rFonts w:ascii="Times New Roman" w:hAnsi="Times New Roman"/>
          <w:b w:val="false"/>
          <w:i w:val="false"/>
          <w:color w:val="000000"/>
          <w:sz w:val="22"/>
        </w:rPr>
        <w:t> </w:t>
      </w:r>
      <w:r>
        <w:rPr>
          <w:rFonts w:ascii="Times New Roman" w:hAnsi="Times New Roman"/>
          <w:b w:val="false"/>
          <w:i w:val="false"/>
          <w:color w:val="000000"/>
          <w:sz w:val="22"/>
        </w:rPr>
        <w:t xml:space="preserve">Any licensee who permits a person to engage in dental radiography or a registrant who engages in dental radiography contrary to this chapter or Iowa Code chapter </w:t>
      </w:r>
      <w:hyperlink r:id="rId9">
        <w:r>
          <w:rPr>
            <w:rStyle w:val="Hyperlink"/>
            <w:rFonts w:ascii="Times New Roman" w:hAnsi="Times New Roman"/>
            <w:b w:val="false"/>
            <w:i w:val="false"/>
            <w:color w:val="000000"/>
            <w:sz w:val="22"/>
          </w:rPr>
          <w:t>136C</w:t>
        </w:r>
      </w:hyperlink>
      <w:r>
        <w:rPr>
          <w:rFonts w:ascii="Times New Roman" w:hAnsi="Times New Roman"/>
          <w:b w:val="false"/>
          <w:i w:val="false"/>
          <w:color w:val="000000"/>
          <w:sz w:val="22"/>
        </w:rPr>
        <w:t xml:space="preserve"> may be subject to discipline by the board pursuant to </w:t>
      </w:r>
      <w:hyperlink r:id="rId10">
        <w:r>
          <w:rPr>
            <w:rStyle w:val="Hyperlink"/>
            <w:rFonts w:ascii="Times New Roman" w:hAnsi="Times New Roman"/>
            <w:b w:val="false"/>
            <w:i w:val="false"/>
            <w:color w:val="000000"/>
            <w:sz w:val="22"/>
          </w:rPr>
          <w:t>481—Chapter 580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8989C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481—575.3</w:t>
      </w:r>
      <w:r>
        <w:rPr>
          <w:rFonts w:ascii="Times New Roman" w:hAnsi="Times New Roman"/>
          <w:b/>
          <w:i w:val="false"/>
          <w:color w:val="000000"/>
          <w:sz w:val="22"/>
        </w:rPr>
        <w:t xml:space="preserve">(153) </w:t>
      </w:r>
      <w:r>
        <w:rPr>
          <w:rFonts w:ascii="Times New Roman" w:hAnsi="Times New Roman"/>
          <w:b/>
          <w:i w:val="false"/>
          <w:color w:val="000000"/>
          <w:sz w:val="22"/>
        </w:rPr>
        <w:t xml:space="preserve">Dental assistants.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575.3(1)</w:t>
      </w:r>
      <w:r>
        <w:rPr>
          <w:rFonts w:ascii="Times New Roman" w:hAnsi="Times New Roman"/>
          <w:b w:val="false"/>
          <w:i w:val="false"/>
          <w:color w:val="000000"/>
          <w:sz w:val="22"/>
        </w:rPr>
        <w:t> </w:t>
      </w:r>
      <w:r>
        <w:rPr>
          <w:rFonts w:ascii="Times New Roman" w:hAnsi="Times New Roman"/>
          <w:b w:val="false"/>
          <w:i w:val="false"/>
          <w:color w:val="000000"/>
          <w:sz w:val="22"/>
        </w:rPr>
        <w:t xml:space="preserve">Dental assistant trainees are individuals who are engaging in on-the-job training to meet the requirements for registration pursuant to Iowa Code section </w:t>
      </w:r>
      <w:hyperlink r:id="rId11">
        <w:r>
          <w:rPr>
            <w:rStyle w:val="Hyperlink"/>
            <w:rFonts w:ascii="Times New Roman" w:hAnsi="Times New Roman"/>
            <w:b w:val="false"/>
            <w:i w:val="false"/>
            <w:color w:val="000000"/>
            <w:sz w:val="22"/>
          </w:rPr>
          <w:t>153.39</w:t>
        </w:r>
      </w:hyperlink>
      <w:r>
        <w:rPr>
          <w:rFonts w:ascii="Times New Roman" w:hAnsi="Times New Roman"/>
          <w:b w:val="false"/>
          <w:i w:val="false"/>
          <w:color w:val="000000"/>
          <w:sz w:val="22"/>
        </w:rPr>
        <w:t xml:space="preserve"> and rule </w:t>
      </w:r>
      <w:hyperlink r:id="rId12">
        <w:r>
          <w:rPr>
            <w:rStyle w:val="Hyperlink"/>
            <w:rFonts w:ascii="Times New Roman" w:hAnsi="Times New Roman"/>
            <w:b w:val="false"/>
            <w:i w:val="false"/>
            <w:color w:val="000000"/>
            <w:sz w:val="22"/>
          </w:rPr>
          <w:t>481—571.5</w:t>
        </w:r>
      </w:hyperlink>
      <w:r>
        <w:rPr>
          <w:rFonts w:ascii="Times New Roman" w:hAnsi="Times New Roman"/>
          <w:b w:val="false"/>
          <w:i w:val="false"/>
          <w:color w:val="000000"/>
          <w:sz w:val="22"/>
        </w:rPr>
        <w:t xml:space="preserve">(147,153). Trainees who are 18 years of age or older may also engage in on-the-job training in dental radiography pursuant to Iowa Code chapters </w:t>
      </w:r>
      <w:hyperlink r:id="rId13">
        <w:r>
          <w:rPr>
            <w:rStyle w:val="Hyperlink"/>
            <w:rFonts w:ascii="Times New Roman" w:hAnsi="Times New Roman"/>
            <w:b w:val="false"/>
            <w:i w:val="false"/>
            <w:color w:val="000000"/>
            <w:sz w:val="22"/>
          </w:rPr>
          <w:t>136C</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153</w:t>
        </w:r>
      </w:hyperlink>
      <w:r>
        <w:rPr>
          <w:rFonts w:ascii="Times New Roman" w:hAnsi="Times New Roman"/>
          <w:b w:val="false"/>
          <w:i w:val="false"/>
          <w:color w:val="000000"/>
          <w:sz w:val="22"/>
        </w:rPr>
        <w:t xml:space="preserve"> and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Dental assistant trainees should successfully complete on-the-job training and examinations in the areas of infection control, hazardous materials, and jurisprudence.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dental assistant trainee shall stop work as a dental assistant trainee if the trainee fails to become registered prior to the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575.3(2)</w:t>
      </w:r>
      <w:r>
        <w:rPr>
          <w:rFonts w:ascii="Times New Roman" w:hAnsi="Times New Roman"/>
          <w:b w:val="false"/>
          <w:i w:val="false"/>
          <w:color w:val="000000"/>
          <w:sz w:val="22"/>
        </w:rPr>
        <w:t> </w:t>
      </w:r>
      <w:r>
        <w:rPr>
          <w:rFonts w:ascii="Times New Roman" w:hAnsi="Times New Roman"/>
          <w:b w:val="false"/>
          <w:i w:val="false"/>
          <w:color w:val="000000"/>
          <w:sz w:val="22"/>
        </w:rPr>
        <w:t>Registered dental assistants are individuals who have met the requirements for registration and have been issued registration. A registered dental assistant may, under direct supervision, assist a dentist in performing duties assigned by the dentist that are consistent with these rules. A registered dental assistant may take radiographs if qualified pursuant to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8989C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481—575.4</w:t>
      </w:r>
      <w:r>
        <w:rPr>
          <w:rFonts w:ascii="Times New Roman" w:hAnsi="Times New Roman"/>
          <w:b/>
          <w:i w:val="false"/>
          <w:color w:val="000000"/>
          <w:sz w:val="22"/>
        </w:rPr>
        <w:t xml:space="preserve">(153) </w:t>
      </w:r>
      <w:r>
        <w:rPr>
          <w:rFonts w:ascii="Times New Roman" w:hAnsi="Times New Roman"/>
          <w:b/>
          <w:i w:val="false"/>
          <w:color w:val="000000"/>
          <w:sz w:val="22"/>
        </w:rPr>
        <w:t xml:space="preserve">Scope of practice.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575.4(1)</w:t>
      </w:r>
      <w:r>
        <w:rPr>
          <w:rFonts w:ascii="Times New Roman" w:hAnsi="Times New Roman"/>
          <w:b w:val="false"/>
          <w:i w:val="false"/>
          <w:color w:val="000000"/>
          <w:sz w:val="22"/>
        </w:rPr>
        <w:t> </w:t>
      </w:r>
      <w:r>
        <w:rPr>
          <w:rFonts w:ascii="Times New Roman" w:hAnsi="Times New Roman"/>
          <w:b w:val="false"/>
          <w:i w:val="false"/>
          <w:color w:val="000000"/>
          <w:sz w:val="22"/>
        </w:rPr>
        <w:t>In all instances, a dentist assumes responsibility for determining, on the basis of diagnosis, the specific treatment patients will receive and which aspects of treatment may be delegated to qualified personnel as authorized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575.4(2)</w:t>
      </w:r>
      <w:r>
        <w:rPr>
          <w:rFonts w:ascii="Times New Roman" w:hAnsi="Times New Roman"/>
          <w:b w:val="false"/>
          <w:i w:val="false"/>
          <w:color w:val="000000"/>
          <w:sz w:val="22"/>
        </w:rPr>
        <w:t> </w:t>
      </w:r>
      <w:r>
        <w:rPr>
          <w:rFonts w:ascii="Times New Roman" w:hAnsi="Times New Roman"/>
          <w:b w:val="false"/>
          <w:i w:val="false"/>
          <w:color w:val="000000"/>
          <w:sz w:val="22"/>
        </w:rPr>
        <w:t>A licensed dentist may delegate to a dental assistant those procedures for which the dental assistant has received training. This delegation shall be based on the best interests of the patient and performed under the supervision of a licensed dentist and may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Placement and removal of dry socket medication;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Placement of periodontal dressings;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Testing pulp vitality;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Preliminary charting of existing dental restorations and teeth;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Glucose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Phlebotomy;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Securing orthodontic wire with elastic chains, rubber bands, and ligature wire;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Expanded function procedures in accordance with </w:t>
      </w:r>
      <w:hyperlink r:id="rId15">
        <w:r>
          <w:rPr>
            <w:rStyle w:val="Hyperlink"/>
            <w:rFonts w:ascii="Times New Roman" w:hAnsi="Times New Roman"/>
            <w:b w:val="false"/>
            <w:i w:val="false"/>
            <w:color w:val="000000"/>
            <w:sz w:val="22"/>
          </w:rPr>
          <w:t>481—Chapter 577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575.4(3)</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dentist will exercise supervision and is fully responsible for all acts performed by a dental assistant. A dentist may not delegate to a dental assistant any of the following, unless allowed pursuant to </w:t>
      </w:r>
      <w:hyperlink r:id="rId16">
        <w:r>
          <w:rPr>
            <w:rStyle w:val="Hyperlink"/>
            <w:rFonts w:ascii="Times New Roman" w:hAnsi="Times New Roman"/>
            <w:b w:val="false"/>
            <w:i w:val="false"/>
            <w:color w:val="000000"/>
            <w:sz w:val="22"/>
          </w:rPr>
          <w:t>481—Chapter 577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Diagnosis, examination, treatment planning, or prescription, including prescription for drugs and medicaments or authorization for restorative, prosthodontic or orthodontic appliances.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Surgical procedures on hard and soft tissues within the oral cavity and any other intraoral procedure that contributes to or results in an irreversible alteration to the oral anatomy.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Administration of local anesthesia.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Placement of sealants.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Removal of any plaque, stain, or hard natural or synthetic material except by toothbrush, floss, or rubber cup coronal polish, or removal of any calculus.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Dental radiography, unless the assistant is qualified pursuant to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Those procedures that require the professional judgment and skill of a dentist.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8989C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481—575.5</w:t>
      </w:r>
      <w:r>
        <w:rPr>
          <w:rFonts w:ascii="Times New Roman" w:hAnsi="Times New Roman"/>
          <w:b/>
          <w:i w:val="false"/>
          <w:color w:val="000000"/>
          <w:sz w:val="22"/>
        </w:rPr>
        <w:t xml:space="preserve">(153) </w:t>
      </w:r>
      <w:r>
        <w:rPr>
          <w:rFonts w:ascii="Times New Roman" w:hAnsi="Times New Roman"/>
          <w:b/>
          <w:i w:val="false"/>
          <w:color w:val="000000"/>
          <w:sz w:val="22"/>
        </w:rPr>
        <w:t xml:space="preserve">Supervision required.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575.5(1)</w:t>
      </w:r>
      <w:r>
        <w:rPr>
          <w:rFonts w:ascii="Times New Roman" w:hAnsi="Times New Roman"/>
          <w:b w:val="false"/>
          <w:i w:val="false"/>
          <w:color w:val="000000"/>
          <w:sz w:val="22"/>
        </w:rPr>
        <w:t> </w:t>
      </w:r>
      <w:r>
        <w:rPr>
          <w:rFonts w:ascii="Times New Roman" w:hAnsi="Times New Roman"/>
          <w:b w:val="false"/>
          <w:i w:val="false"/>
          <w:color w:val="000000"/>
          <w:sz w:val="22"/>
        </w:rPr>
        <w:t>A licensed dentist may delegate the following services to a registered dental assistant under general supervision: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extraoral duties.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Intraoral suctioning.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Use of a curing light.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Dental radiography in accordance with rule </w:t>
      </w:r>
      <w:hyperlink r:id="rId17">
        <w:r>
          <w:rPr>
            <w:rStyle w:val="Hyperlink"/>
            <w:rFonts w:ascii="Times New Roman" w:hAnsi="Times New Roman"/>
            <w:b w:val="false"/>
            <w:i w:val="false"/>
            <w:color w:val="000000"/>
            <w:sz w:val="22"/>
          </w:rPr>
          <w:t>481—575.2</w:t>
        </w:r>
      </w:hyperlink>
      <w:r>
        <w:rPr>
          <w:rFonts w:ascii="Times New Roman" w:hAnsi="Times New Roman"/>
          <w:b w:val="false"/>
          <w:i w:val="false"/>
          <w:color w:val="000000"/>
          <w:sz w:val="22"/>
        </w:rPr>
        <w:t>(136C,153).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Other intraoral imaging except for taking occlusal registrations or final impressions. Expanded functions may only be performed in accordance with </w:t>
      </w:r>
      <w:hyperlink r:id="rId18">
        <w:r>
          <w:rPr>
            <w:rStyle w:val="Hyperlink"/>
            <w:rFonts w:ascii="Times New Roman" w:hAnsi="Times New Roman"/>
            <w:b w:val="false"/>
            <w:i w:val="false"/>
            <w:color w:val="000000"/>
            <w:sz w:val="22"/>
          </w:rPr>
          <w:t>481—Chapter 577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575.5(2)</w:t>
      </w:r>
      <w:r>
        <w:rPr>
          <w:rFonts w:ascii="Times New Roman" w:hAnsi="Times New Roman"/>
          <w:b w:val="false"/>
          <w:i w:val="false"/>
          <w:color w:val="000000"/>
          <w:sz w:val="22"/>
        </w:rPr>
        <w:t> </w:t>
      </w:r>
      <w:r>
        <w:rPr>
          <w:rFonts w:ascii="Times New Roman" w:hAnsi="Times New Roman"/>
          <w:b w:val="false"/>
          <w:i w:val="false"/>
          <w:color w:val="000000"/>
          <w:sz w:val="22"/>
        </w:rPr>
        <w:t xml:space="preserve">Dentists may delegate other services that are within the scope of practice of a dental assistant, including expanded functions pursuant to </w:t>
      </w:r>
      <w:hyperlink r:id="rId19">
        <w:r>
          <w:rPr>
            <w:rStyle w:val="Hyperlink"/>
            <w:rFonts w:ascii="Times New Roman" w:hAnsi="Times New Roman"/>
            <w:b w:val="false"/>
            <w:i w:val="false"/>
            <w:color w:val="000000"/>
            <w:sz w:val="22"/>
          </w:rPr>
          <w:t>481—Chapter 577</w:t>
        </w:r>
      </w:hyperlink>
      <w:r>
        <w:rPr>
          <w:rFonts w:ascii="Times New Roman" w:hAnsi="Times New Roman"/>
          <w:b w:val="false"/>
          <w:i w:val="false"/>
          <w:color w:val="000000"/>
          <w:sz w:val="22"/>
        </w:rPr>
        <w:t>, under direct supervision or as otherwise permitted by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575.5(3)</w:t>
      </w:r>
      <w:r>
        <w:rPr>
          <w:rFonts w:ascii="Times New Roman" w:hAnsi="Times New Roman"/>
          <w:b w:val="false"/>
          <w:i w:val="false"/>
          <w:color w:val="000000"/>
          <w:sz w:val="22"/>
        </w:rPr>
        <w:t> </w:t>
      </w:r>
      <w:r>
        <w:rPr>
          <w:rFonts w:ascii="Times New Roman" w:hAnsi="Times New Roman"/>
          <w:b w:val="false"/>
          <w:i w:val="false"/>
          <w:color w:val="000000"/>
          <w:sz w:val="22"/>
        </w:rPr>
        <w:t xml:space="preserve">A registered dental assistant may practice under public health supervision in accordance with rule </w:t>
      </w:r>
      <w:hyperlink r:id="rId20">
        <w:r>
          <w:rPr>
            <w:rStyle w:val="Hyperlink"/>
            <w:rFonts w:ascii="Times New Roman" w:hAnsi="Times New Roman"/>
            <w:b w:val="false"/>
            <w:i w:val="false"/>
            <w:color w:val="000000"/>
            <w:sz w:val="22"/>
          </w:rPr>
          <w:t>481—574.11</w:t>
        </w:r>
      </w:hyperlink>
      <w:r>
        <w:rPr>
          <w:rFonts w:ascii="Times New Roman" w:hAnsi="Times New Roman"/>
          <w:b w:val="false"/>
          <w:i w:val="false"/>
          <w:color w:val="000000"/>
          <w:sz w:val="22"/>
        </w:rPr>
        <w:t>(153).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8989C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481—575.6</w:t>
      </w:r>
      <w:r>
        <w:rPr>
          <w:rFonts w:ascii="Times New Roman" w:hAnsi="Times New Roman"/>
          <w:b/>
          <w:i w:val="false"/>
          <w:color w:val="000000"/>
          <w:sz w:val="22"/>
        </w:rPr>
        <w:t xml:space="preserve">(153) </w:t>
      </w:r>
      <w:r>
        <w:rPr>
          <w:rFonts w:ascii="Times New Roman" w:hAnsi="Times New Roman"/>
          <w:b/>
          <w:i w:val="false"/>
          <w:color w:val="000000"/>
          <w:sz w:val="22"/>
        </w:rPr>
        <w:t xml:space="preserve">Continuing education. </w:t>
      </w:r>
      <w:r>
        <w:rPr>
          <w:rFonts w:ascii="Times New Roman" w:hAnsi="Times New Roman"/>
          <w:b w:val="false"/>
          <w:i w:val="false"/>
          <w:color w:val="000000"/>
          <w:sz w:val="22"/>
        </w:rPr>
        <w:t xml:space="preserve">For the purposes of renewal, every registrant and licensed nurse who holds a dental radiography qualification will complete continuing education requirements as specified in </w:t>
      </w:r>
      <w:hyperlink r:id="rId21">
        <w:r>
          <w:rPr>
            <w:rStyle w:val="Hyperlink"/>
            <w:rFonts w:ascii="Times New Roman" w:hAnsi="Times New Roman"/>
            <w:b w:val="false"/>
            <w:i w:val="false"/>
            <w:color w:val="000000"/>
            <w:sz w:val="22"/>
          </w:rPr>
          <w:t>481—Chapter 573</w:t>
        </w:r>
      </w:hyperlink>
      <w:r>
        <w:rPr>
          <w:rFonts w:ascii="Times New Roman" w:hAnsi="Times New Roman"/>
          <w:b w:val="false"/>
          <w:i w:val="false"/>
          <w:color w:val="000000"/>
          <w:sz w:val="22"/>
        </w:rPr>
        <w:t xml:space="preserve"> unless exempted by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8989C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481—575.7</w:t>
      </w:r>
      <w:r>
        <w:rPr>
          <w:rFonts w:ascii="Times New Roman" w:hAnsi="Times New Roman"/>
          <w:b/>
          <w:i w:val="false"/>
          <w:color w:val="000000"/>
          <w:sz w:val="22"/>
        </w:rPr>
        <w:t xml:space="preserve">(153) </w:t>
      </w:r>
      <w:r>
        <w:rPr>
          <w:rFonts w:ascii="Times New Roman" w:hAnsi="Times New Roman"/>
          <w:b/>
          <w:i w:val="false"/>
          <w:color w:val="000000"/>
          <w:sz w:val="22"/>
        </w:rPr>
        <w:t xml:space="preserve">Students enrolled in dental assisting programs. </w:t>
      </w:r>
      <w:r>
        <w:rPr>
          <w:rFonts w:ascii="Times New Roman" w:hAnsi="Times New Roman"/>
          <w:b w:val="false"/>
          <w:i w:val="false"/>
          <w:color w:val="000000"/>
          <w:sz w:val="22"/>
        </w:rPr>
        <w:t>Students enrolled in an accredited dental assisting program are not considered to be engaged in the unlawful practice of dental assisting provided that such practice is in connection with their regular course of instruction and meets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575.7(1)</w:t>
      </w:r>
      <w:r>
        <w:rPr>
          <w:rFonts w:ascii="Times New Roman" w:hAnsi="Times New Roman"/>
          <w:b w:val="false"/>
          <w:i w:val="false"/>
          <w:color w:val="000000"/>
          <w:sz w:val="22"/>
        </w:rPr>
        <w:t> </w:t>
      </w:r>
      <w:r>
        <w:rPr>
          <w:rFonts w:ascii="Times New Roman" w:hAnsi="Times New Roman"/>
          <w:b w:val="false"/>
          <w:i w:val="false"/>
          <w:color w:val="000000"/>
          <w:sz w:val="22"/>
        </w:rPr>
        <w:t>The practice of clinical skills on peers enrolled in the same program is performed under the direct supervision of a program instructor with an active Iowa dental assistant registration, dental hygiene license, faculty permit, or dental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575.7(2)</w:t>
      </w:r>
      <w:r>
        <w:rPr>
          <w:rFonts w:ascii="Times New Roman" w:hAnsi="Times New Roman"/>
          <w:b w:val="false"/>
          <w:i w:val="false"/>
          <w:color w:val="000000"/>
          <w:sz w:val="22"/>
        </w:rPr>
        <w:t> </w:t>
      </w:r>
      <w:r>
        <w:rPr>
          <w:rFonts w:ascii="Times New Roman" w:hAnsi="Times New Roman"/>
          <w:b w:val="false"/>
          <w:i w:val="false"/>
          <w:color w:val="000000"/>
          <w:sz w:val="22"/>
        </w:rPr>
        <w:t>The practice of clinical skills on members of the public is performed under the direct supervision of a dentist with an active Iowa dental license or faculty permit.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8989C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481—575.8</w:t>
      </w:r>
      <w:r>
        <w:rPr>
          <w:rFonts w:ascii="Times New Roman" w:hAnsi="Times New Roman"/>
          <w:b/>
          <w:i w:val="false"/>
          <w:color w:val="000000"/>
          <w:sz w:val="22"/>
        </w:rPr>
        <w:t xml:space="preserve">(153) </w:t>
      </w:r>
      <w:r>
        <w:rPr>
          <w:rFonts w:ascii="Times New Roman" w:hAnsi="Times New Roman"/>
          <w:b/>
          <w:i w:val="false"/>
          <w:color w:val="000000"/>
          <w:sz w:val="22"/>
        </w:rPr>
        <w:t xml:space="preserve">Unlawful practice.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575.8(1)</w:t>
      </w:r>
      <w:r>
        <w:rPr>
          <w:rFonts w:ascii="Times New Roman" w:hAnsi="Times New Roman"/>
          <w:b w:val="false"/>
          <w:i w:val="false"/>
          <w:color w:val="000000"/>
          <w:sz w:val="22"/>
        </w:rPr>
        <w:t> </w:t>
      </w:r>
      <w:r>
        <w:rPr>
          <w:rFonts w:ascii="Times New Roman" w:hAnsi="Times New Roman"/>
          <w:b w:val="false"/>
          <w:i w:val="false"/>
          <w:color w:val="000000"/>
          <w:sz w:val="22"/>
        </w:rPr>
        <w:t>A dental assistant who assists a dentist in practicing dentistry in any capacity other than as a person supervised by a dentist in a dental office; who directly or indirectly procures a licensed dentist to act as nominal owner, proprietor or director of a dental office as a guise or subterfuge to enable such dental assistant to engage directly or indirectly in the practice of dentistry; or who performs dental service directly or indirectly on or for members of the public other than as a person working for a dentist shall be deemed to be practicing dentistry without a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575.8(2)</w:t>
      </w:r>
      <w:r>
        <w:rPr>
          <w:rFonts w:ascii="Times New Roman" w:hAnsi="Times New Roman"/>
          <w:b w:val="false"/>
          <w:i w:val="false"/>
          <w:color w:val="000000"/>
          <w:sz w:val="22"/>
        </w:rPr>
        <w:t> </w:t>
      </w:r>
      <w:r>
        <w:rPr>
          <w:rFonts w:ascii="Times New Roman" w:hAnsi="Times New Roman"/>
          <w:b w:val="false"/>
          <w:i w:val="false"/>
          <w:color w:val="000000"/>
          <w:sz w:val="22"/>
        </w:rPr>
        <w:t>Any dental laboratory technician who assists a dentist in practicing dentistry in any capacity other than as an employee or independent contractor; who directly or indirectly procures a licensed dentist to act as nominal owner, proprietor or director of a dental office as a guise or subterfuge to enable such dental laboratory technician to engage directly or indirectly in the practice of dentistry; or who renders dental service directly or indirectly on or for members of the public other than as an employee or independent contractor for an employing dentist shall be deemed to be practicing dentistry without a license.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8989C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481—575.9</w:t>
      </w:r>
      <w:r>
        <w:rPr>
          <w:rFonts w:ascii="Times New Roman" w:hAnsi="Times New Roman"/>
          <w:b/>
          <w:i w:val="false"/>
          <w:color w:val="000000"/>
          <w:sz w:val="22"/>
        </w:rPr>
        <w:t xml:space="preserve">(153) </w:t>
      </w:r>
      <w:r>
        <w:rPr>
          <w:rFonts w:ascii="Times New Roman" w:hAnsi="Times New Roman"/>
          <w:b/>
          <w:i w:val="false"/>
          <w:color w:val="000000"/>
          <w:sz w:val="22"/>
        </w:rPr>
        <w:t xml:space="preserve">Advertising and soliciting of dental services prohibited. </w:t>
      </w:r>
      <w:r>
        <w:rPr>
          <w:rFonts w:ascii="Times New Roman" w:hAnsi="Times New Roman"/>
          <w:b w:val="false"/>
          <w:i w:val="false"/>
          <w:color w:val="000000"/>
          <w:sz w:val="22"/>
        </w:rPr>
        <w:t>Dental assistants, dental laboratories or dental laboratory technicians shall not advertise, solicit, represent or hold themselves out in any manner to the general public that they will furnish, construct, repair or alter prosthetic, orthodontic or other appliances, with or without consideration, to be used as substitutes for or as part of natural teeth or associated structures or for the correction of malocclusions or deformities, or that they will perform or render any other dental service.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8989C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22">
        <w:r>
          <w:rPr>
            <w:rStyle w:val="Hyperlink"/>
            <w:rFonts w:ascii="Times New Roman" w:hAnsi="Times New Roman"/>
            <w:b w:val="false"/>
            <w:i w:val="false"/>
            <w:color w:val="000000"/>
            <w:sz w:val="22"/>
          </w:rPr>
          <w:t>136C</w:t>
        </w:r>
      </w:hyperlink>
      <w:r>
        <w:rPr>
          <w:rFonts w:ascii="Times New Roman" w:hAnsi="Times New Roman"/>
          <w:b w:val="false"/>
          <w:i w:val="false"/>
          <w:color w:val="000000"/>
          <w:sz w:val="22"/>
        </w:rPr>
        <w:t xml:space="preserve"> and </w:t>
      </w:r>
      <w:hyperlink r:id="rId23">
        <w:r>
          <w:rPr>
            <w:rStyle w:val="Hyperlink"/>
            <w:rFonts w:ascii="Times New Roman" w:hAnsi="Times New Roman"/>
            <w:b w:val="false"/>
            <w:i w:val="false"/>
            <w:color w:val="000000"/>
            <w:sz w:val="22"/>
          </w:rPr>
          <w:t>153</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8989C</w:t>
      </w:r>
      <w:r>
        <w:rPr>
          <w:rFonts w:ascii="Times New Roman" w:hAnsi="Times New Roman"/>
          <w:b w:val="false"/>
          <w:i w:val="false"/>
          <w:color w:val="000000"/>
          <w:sz w:val="21"/>
        </w:rPr>
        <w:t xml:space="preserve"> (Notice ARC 8497C, IAB 12/11/24)</w:t>
      </w:r>
      <w:r>
        <w:rPr>
          <w:rFonts w:ascii="Times New Roman" w:hAnsi="Times New Roman"/>
          <w:b w:val="false"/>
          <w:i w:val="false"/>
          <w:color w:val="000000"/>
          <w:sz w:val="21"/>
        </w:rPr>
        <w:t>, IAB 3/5/25, effective 4/9/25]</w:t>
      </w:r>
    </w:p>
    <w:sectPr>
      <w:pgSz w:w="11907" w:h="16839" w:code="9"/>
      <w:pgMar w:top="1440" w:right="1440" w:bottom="1440" w:left="1440"/>
    </w:sectPr>
  </w:body>
</w:document>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81.571.5.pdf" Type="http://schemas.openxmlformats.org/officeDocument/2006/relationships/hyperlink" Id="rId5"/>
    <Relationship TargetMode="External" Target="https://www.legis.iowa.gov/docs/ico/chapter/153.39.pdf" Type="http://schemas.openxmlformats.org/officeDocument/2006/relationships/hyperlink" Id="rId6"/>
    <Relationship TargetMode="External" Target="https://www.legis.iowa.gov/docs/ico/chapter/136C.pdf" Type="http://schemas.openxmlformats.org/officeDocument/2006/relationships/hyperlink" Id="rId7"/>
    <Relationship TargetMode="External" Target="https://www.legis.iowa.gov/docs/ico/chapter/136C.pdf" Type="http://schemas.openxmlformats.org/officeDocument/2006/relationships/hyperlink" Id="rId8"/>
    <Relationship TargetMode="External" Target="https://www.legis.iowa.gov/docs/ico/chapter/136C.pdf" Type="http://schemas.openxmlformats.org/officeDocument/2006/relationships/hyperlink" Id="rId9"/>
    <Relationship TargetMode="External" Target="https://www.legis.iowa.gov/docs/iac/chapter/481.580.pdf" Type="http://schemas.openxmlformats.org/officeDocument/2006/relationships/hyperlink" Id="rId10"/>
    <Relationship TargetMode="External" Target="https://www.legis.iowa.gov/docs/ico/chapter/153.39.pdf" Type="http://schemas.openxmlformats.org/officeDocument/2006/relationships/hyperlink" Id="rId11"/>
    <Relationship TargetMode="External" Target="https://www.legis.iowa.gov/docs/iac/rule/481.571.5.pdf" Type="http://schemas.openxmlformats.org/officeDocument/2006/relationships/hyperlink" Id="rId12"/>
    <Relationship TargetMode="External" Target="https://www.legis.iowa.gov/docs/ico/chapter/136C.pdf" Type="http://schemas.openxmlformats.org/officeDocument/2006/relationships/hyperlink" Id="rId13"/>
    <Relationship TargetMode="External" Target="https://www.legis.iowa.gov/docs/ico/chapter/153.pdf" Type="http://schemas.openxmlformats.org/officeDocument/2006/relationships/hyperlink" Id="rId14"/>
    <Relationship TargetMode="External" Target="https://www.legis.iowa.gov/docs/iac/chapter/481.577.pdf" Type="http://schemas.openxmlformats.org/officeDocument/2006/relationships/hyperlink" Id="rId15"/>
    <Relationship TargetMode="External" Target="https://www.legis.iowa.gov/docs/iac/chapter/481.577.pdf" Type="http://schemas.openxmlformats.org/officeDocument/2006/relationships/hyperlink" Id="rId16"/>
    <Relationship TargetMode="External" Target="https://www.legis.iowa.gov/docs/iac/rule/481.575.2.pdf" Type="http://schemas.openxmlformats.org/officeDocument/2006/relationships/hyperlink" Id="rId17"/>
    <Relationship TargetMode="External" Target="https://www.legis.iowa.gov/docs/iac/chapter/481.577.pdf" Type="http://schemas.openxmlformats.org/officeDocument/2006/relationships/hyperlink" Id="rId18"/>
    <Relationship TargetMode="External" Target="https://www.legis.iowa.gov/docs/iac/chapter/481.577.pdf" Type="http://schemas.openxmlformats.org/officeDocument/2006/relationships/hyperlink" Id="rId19"/>
    <Relationship TargetMode="External" Target="https://www.legis.iowa.gov/docs/iac/rule/481.574.11.pdf" Type="http://schemas.openxmlformats.org/officeDocument/2006/relationships/hyperlink" Id="rId20"/>
    <Relationship TargetMode="External" Target="https://www.legis.iowa.gov/docs/iac/chapter/481.573.pdf" Type="http://schemas.openxmlformats.org/officeDocument/2006/relationships/hyperlink" Id="rId21"/>
    <Relationship TargetMode="External" Target="https://www.legis.iowa.gov/docs/ico/chapter/136C.pdf" Type="http://schemas.openxmlformats.org/officeDocument/2006/relationships/hyperlink" Id="rId22"/>
    <Relationship TargetMode="External" Target="https://www.legis.iowa.gov/docs/ico/chapter/153.pdf" Type="http://schemas.openxmlformats.org/officeDocument/2006/relationships/hyperlink" Id="rId2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