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570</w:t>
      </w:r>
    </w:p>
    <w:p>
      <w:pPr>
        <w:spacing w:before="0" w:after="0"/>
        <w:ind w:left="120"/>
        <w:jc w:val="center"/>
      </w:pPr>
      <w:r>
        <w:rPr>
          <w:rFonts w:ascii="Times New Roman" w:hAnsi="Times New Roman"/>
          <w:b w:val="false"/>
          <w:i w:val="false"/>
          <w:color w:val="000000"/>
          <w:sz w:val="21"/>
        </w:rPr>
        <w:t>DENTAL BOARD ADMINISTRATION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481—570.1</w:t>
      </w:r>
      <w:r>
        <w:rPr>
          <w:rFonts w:ascii="Times New Roman" w:hAnsi="Times New Roman"/>
          <w:b/>
          <w:i w:val="false"/>
          <w:color w:val="000000"/>
          <w:sz w:val="22"/>
        </w:rPr>
        <w:t xml:space="preserve">(153)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 </w:t>
      </w:r>
      <w:r>
        <w:rPr>
          <w:rFonts w:ascii="Times New Roman" w:hAnsi="Times New Roman"/>
          <w:b w:val="false"/>
          <w:i w:val="false"/>
          <w:color w:val="000000"/>
          <w:sz w:val="22"/>
        </w:rPr>
        <w:t>means the anesthesia credentials committee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school” </w:t>
      </w:r>
      <w:r>
        <w:rPr>
          <w:rFonts w:ascii="Times New Roman" w:hAnsi="Times New Roman"/>
          <w:b w:val="false"/>
          <w:i w:val="false"/>
          <w:color w:val="000000"/>
          <w:sz w:val="22"/>
        </w:rPr>
        <w:t>means a dental, dental hygiene, or dental assisting education program accredited by the American Dental Association Commission on Dental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patient” </w:t>
      </w:r>
      <w:r>
        <w:rPr>
          <w:rFonts w:ascii="Times New Roman" w:hAnsi="Times New Roman"/>
          <w:b w:val="false"/>
          <w:i w:val="false"/>
          <w:color w:val="000000"/>
          <w:sz w:val="22"/>
        </w:rPr>
        <w:t>means a person whom the licensee has examined, treated, cared for, or otherwise consulted with during the previous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“ASA” </w:t>
      </w:r>
      <w:r>
        <w:rPr>
          <w:rFonts w:ascii="Times New Roman" w:hAnsi="Times New Roman"/>
          <w:b w:val="false"/>
          <w:i w:val="false"/>
          <w:color w:val="000000"/>
          <w:sz w:val="22"/>
        </w:rPr>
        <w:t>refers to the American Society of Anesthesiologists Patient Physical Status Classification System. Category I means normal healthy patients, and category II means patients with mild systemic disease. Category III means patients with severe systemic disease, and category IV means patients with severe systemic disease that is a constant threat to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delegate” </w:t>
      </w:r>
      <w:r>
        <w:rPr>
          <w:rFonts w:ascii="Times New Roman" w:hAnsi="Times New Roman"/>
          <w:b w:val="false"/>
          <w:i w:val="false"/>
          <w:color w:val="000000"/>
          <w:sz w:val="22"/>
        </w:rPr>
        <w:t>means a licensed or registered health care professional who has obtained prescription monitoring program (PMP) log-in credentials. A dental assistant trainee cannot serve as an authorized delegate.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dental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“Capnography” </w:t>
      </w:r>
      <w:r>
        <w:rPr>
          <w:rFonts w:ascii="Times New Roman" w:hAnsi="Times New Roman"/>
          <w:b w:val="false"/>
          <w:i w:val="false"/>
          <w:color w:val="000000"/>
          <w:sz w:val="22"/>
        </w:rPr>
        <w:t>means the monitoring of the concentration of exhaled carbon dioxide in order to assess physiologic status or determine the adequacy of ventilation during anesthesia.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“Chapter” </w:t>
      </w:r>
      <w:r>
        <w:rPr>
          <w:rFonts w:ascii="Times New Roman" w:hAnsi="Times New Roman"/>
          <w:b w:val="false"/>
          <w:i w:val="false"/>
          <w:color w:val="000000"/>
          <w:sz w:val="22"/>
        </w:rPr>
        <w:t xml:space="preserve">means Iowa Code chapter </w:t>
      </w:r>
      <w:hyperlink r:id="rId5">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training” </w:t>
      </w:r>
      <w:r>
        <w:rPr>
          <w:rFonts w:ascii="Times New Roman" w:hAnsi="Times New Roman"/>
          <w:b w:val="false"/>
          <w:i w:val="false"/>
          <w:color w:val="000000"/>
          <w:sz w:val="22"/>
        </w:rPr>
        <w:t>means training that includes patient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6">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7">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dental education” </w:t>
      </w:r>
      <w:r>
        <w:rPr>
          <w:rFonts w:ascii="Times New Roman" w:hAnsi="Times New Roman"/>
          <w:b w:val="false"/>
          <w:i w:val="false"/>
          <w:color w:val="000000"/>
          <w:sz w:val="22"/>
        </w:rPr>
        <w:t>consists of education activities designed to review and update concepts, techniques, and knowledge on advances in dental and medical sciences. The objective of continuing dental education is to improve the knowledge, skills, and ability of the individual to deliver the highest quality of service to the public and professions. Continuing dental education programs should make it possible for practitioners to adapt dental practice to new knowledge as it becomes available. All continuing dental education should strengthen judgment and professional technique.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 </w:t>
      </w:r>
      <w:r>
        <w:rPr>
          <w:rFonts w:ascii="Times New Roman" w:hAnsi="Times New Roman"/>
          <w:b w:val="false"/>
          <w:i w:val="false"/>
          <w:color w:val="000000"/>
          <w:sz w:val="22"/>
        </w:rPr>
        <w:t xml:space="preserve">means a drug, substance, or immediate precursor in schedules I through V listed in subchapter II of Iowa Code chapter </w:t>
      </w:r>
      <w:hyperlink r:id="rId8">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“Coronal polish” </w:t>
      </w:r>
      <w:r>
        <w:rPr>
          <w:rFonts w:ascii="Times New Roman" w:hAnsi="Times New Roman"/>
          <w:b w:val="false"/>
          <w:i w:val="false"/>
          <w:color w:val="000000"/>
          <w:sz w:val="22"/>
        </w:rPr>
        <w:t>means an adjunctive procedure that must also include removal of any calculus, if present, by a dentist or dental hygienist. Coronal polishing of teeth using only a rotary instrument and a rubber cup or brush for such purpose, when performed at the direction of and under the supervision of a licensed dentist, is deemed not to be the giving of prophylactic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“DAANCE” </w:t>
      </w:r>
      <w:r>
        <w:rPr>
          <w:rFonts w:ascii="Times New Roman" w:hAnsi="Times New Roman"/>
          <w:b w:val="false"/>
          <w:i w:val="false"/>
          <w:color w:val="000000"/>
          <w:sz w:val="22"/>
        </w:rPr>
        <w:t>means the dental anesthesia assistant national certification examination as offered by the American Association of Oral and Maxillofacial Surgeons (AAOMS).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“Deep sedation” </w:t>
      </w:r>
      <w:r>
        <w:rPr>
          <w:rFonts w:ascii="Times New Roman" w:hAnsi="Times New Roman"/>
          <w:b w:val="false"/>
          <w:i w:val="false"/>
          <w:color w:val="000000"/>
          <w:sz w:val="22"/>
        </w:rPr>
        <w:t>means drug-induced depression of consciousness during which patients cannot be easily aroused but respond purposefully following repeated painful stimulation. The ability to independently maintain ventilatory function may be impaired. Patients may require assistance in maintaining a patent airway, and spontaneous ventilation may be inadequate. Cardiovascular function is usually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“Dental assistant” </w:t>
      </w:r>
      <w:r>
        <w:rPr>
          <w:rFonts w:ascii="Times New Roman" w:hAnsi="Times New Roman"/>
          <w:b w:val="false"/>
          <w:i w:val="false"/>
          <w:color w:val="000000"/>
          <w:sz w:val="22"/>
        </w:rPr>
        <w:t>means any person who, under the supervision of a dentist, performs any extraoral services including infection control or the use of hazardous materials or performs any intraoral services on patients. The term “dental assistant” does not include persons otherwise actively licensed in Iowa to practice dental hygiene or nursing who are engaged in the practice of said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“Dental assistant trainee” </w:t>
      </w:r>
      <w:r>
        <w:rPr>
          <w:rFonts w:ascii="Times New Roman" w:hAnsi="Times New Roman"/>
          <w:b w:val="false"/>
          <w:i w:val="false"/>
          <w:color w:val="000000"/>
          <w:sz w:val="22"/>
        </w:rPr>
        <w:t xml:space="preserve">means any person who is engaging in on-the-job training to meet the requirements for registration in accordance with Iowa Code section </w:t>
      </w:r>
      <w:hyperlink r:id="rId9">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 xml:space="preserve"> and who is practicing in accordance with </w:t>
      </w:r>
      <w:hyperlink r:id="rId10">
        <w:r>
          <w:rPr>
            <w:rStyle w:val="Hyperlink"/>
            <w:rFonts w:ascii="Times New Roman" w:hAnsi="Times New Roman"/>
            <w:b w:val="false"/>
            <w:i w:val="false"/>
            <w:color w:val="000000"/>
            <w:sz w:val="22"/>
          </w:rPr>
          <w:t>481—Chapter 575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“Dental hygiene committee” </w:t>
      </w:r>
      <w:r>
        <w:rPr>
          <w:rFonts w:ascii="Times New Roman" w:hAnsi="Times New Roman"/>
          <w:b w:val="false"/>
          <w:i w:val="false"/>
          <w:color w:val="000000"/>
          <w:sz w:val="22"/>
        </w:rPr>
        <w:t xml:space="preserve">means the same as described in Iowa Code section </w:t>
      </w:r>
      <w:hyperlink r:id="rId11">
        <w:r>
          <w:rPr>
            <w:rStyle w:val="Hyperlink"/>
            <w:rFonts w:ascii="Times New Roman" w:hAnsi="Times New Roman"/>
            <w:b w:val="false"/>
            <w:i w:val="false"/>
            <w:color w:val="000000"/>
            <w:sz w:val="22"/>
          </w:rPr>
          <w:t>153.33A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“Dental laboratory technician” </w:t>
      </w:r>
      <w:r>
        <w:rPr>
          <w:rFonts w:ascii="Times New Roman" w:hAnsi="Times New Roman"/>
          <w:b w:val="false"/>
          <w:i w:val="false"/>
          <w:color w:val="000000"/>
          <w:sz w:val="22"/>
        </w:rPr>
        <w:t>as used in these rules includes a person other than a licensed dentist, dental hygienist or registered dental assistant who fabricates, constructs, makes, or repairs oral prosthetic appliances solely and exclusively for a licensed dentist and under a dentist’s supervision or direction. A dental laboratory technician who performs any of the duties of a dental assistant, as defined in this chapter, must be registered with the board as a dental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“Dental public health” </w:t>
      </w:r>
      <w:r>
        <w:rPr>
          <w:rFonts w:ascii="Times New Roman" w:hAnsi="Times New Roman"/>
          <w:b w:val="false"/>
          <w:i w:val="false"/>
          <w:color w:val="000000"/>
          <w:sz w:val="22"/>
        </w:rPr>
        <w:t>is the science and system of preventing and controlling dental diseases and promoting dental health through organized community efforts. It is that form of dental practice in which the community serves as the patient rather than the individual. It is concerned with the dental health education of the public, applied dental research, the administration of group dental care programs, and the prevention and control of dental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“Dental radiography” </w:t>
      </w:r>
      <w:r>
        <w:rPr>
          <w:rFonts w:ascii="Times New Roman" w:hAnsi="Times New Roman"/>
          <w:b w:val="false"/>
          <w:i w:val="false"/>
          <w:color w:val="000000"/>
          <w:sz w:val="22"/>
        </w:rPr>
        <w:t>means the application of X-radiation to human teeth and supporting structures for diagnostic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“Deposition” </w:t>
      </w:r>
      <w:r>
        <w:rPr>
          <w:rFonts w:ascii="Times New Roman" w:hAnsi="Times New Roman"/>
          <w:b w:val="false"/>
          <w:i w:val="false"/>
          <w:color w:val="000000"/>
          <w:sz w:val="22"/>
        </w:rPr>
        <w:t>means the testimony of a person pursuant to subpoena or at the request of the state of Iowa taken in a setting other than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“Didactic training” </w:t>
      </w:r>
      <w:r>
        <w:rPr>
          <w:rFonts w:ascii="Times New Roman" w:hAnsi="Times New Roman"/>
          <w:b w:val="false"/>
          <w:i w:val="false"/>
          <w:color w:val="000000"/>
          <w:sz w:val="22"/>
        </w:rPr>
        <w:t>means educational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supervision” </w:t>
      </w:r>
      <w:r>
        <w:rPr>
          <w:rFonts w:ascii="Times New Roman" w:hAnsi="Times New Roman"/>
          <w:b w:val="false"/>
          <w:i w:val="false"/>
          <w:color w:val="000000"/>
          <w:sz w:val="22"/>
        </w:rPr>
        <w:t>means that the dentist is present in the treatment facility, but it is not required that the dentist be physically present in the treatment room, or the dentist is not present in the treatment facility but is able to appear using live video upon request with a response time similar to what would be expected if the dentist were present in the treatment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“Expenses” </w:t>
      </w:r>
      <w:r>
        <w:rPr>
          <w:rFonts w:ascii="Times New Roman" w:hAnsi="Times New Roman"/>
          <w:b w:val="false"/>
          <w:i w:val="false"/>
          <w:color w:val="000000"/>
          <w:sz w:val="22"/>
        </w:rPr>
        <w:t xml:space="preserve">means costs incurred by persons appearing pursuant to subpoena or at the request of the state of Iowa for purposes of providing testimony on the part of the state of Iowa in a hearing or other official proceeding. Mileage shall be reimbursed in accordance with Iowa Code section </w:t>
      </w:r>
      <w:hyperlink r:id="rId12">
        <w:r>
          <w:rPr>
            <w:rStyle w:val="Hyperlink"/>
            <w:rFonts w:ascii="Times New Roman" w:hAnsi="Times New Roman"/>
            <w:b w:val="false"/>
            <w:i w:val="false"/>
            <w:color w:val="000000"/>
            <w:sz w:val="22"/>
          </w:rPr>
          <w:t>70A.9</w:t>
        </w:r>
      </w:hyperlink>
      <w:r>
        <w:rPr>
          <w:rFonts w:ascii="Times New Roman" w:hAnsi="Times New Roman"/>
          <w:b w:val="false"/>
          <w:i w:val="false"/>
          <w:color w:val="000000"/>
          <w:sz w:val="22"/>
        </w:rPr>
        <w:t xml:space="preserve"> or, if commercial air or ground transportation is used, the actual cost of transportation to and from the proceeding. Also included are actual costs incurred for meals and necessary lodging.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“Fabrication” </w:t>
      </w:r>
      <w:r>
        <w:rPr>
          <w:rFonts w:ascii="Times New Roman" w:hAnsi="Times New Roman"/>
          <w:b w:val="false"/>
          <w:i w:val="false"/>
          <w:color w:val="000000"/>
          <w:sz w:val="22"/>
        </w:rPr>
        <w:t>means the construction or creation of an impression, occlusal registration, provisional restoration or denture,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any dental office or clinic where sedation is used in the practice of dentistry. The term “facility” does not include 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means the amount charged for the services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“General anesthesia” </w:t>
      </w:r>
      <w:r>
        <w:rPr>
          <w:rFonts w:ascii="Times New Roman" w:hAnsi="Times New Roman"/>
          <w:b w:val="false"/>
          <w:i w:val="false"/>
          <w:color w:val="000000"/>
          <w:sz w:val="22"/>
        </w:rPr>
        <w:t>means a drug-induced loss of consciousness during which patients are not arousable, even by painful stimulation. The ability to independently maintain ventilatory function is often impaired. Patients often require assistance in maintaining a patent airway, and positive pressure ventilation may be required because of depressed spontaneous ventilation or drug-induced depression of neuromuscular function. Cardiovascular function may be impaired.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“General supervision” </w:t>
      </w:r>
      <w:r>
        <w:rPr>
          <w:rFonts w:ascii="Times New Roman" w:hAnsi="Times New Roman"/>
          <w:b w:val="false"/>
          <w:i w:val="false"/>
          <w:color w:val="000000"/>
          <w:sz w:val="22"/>
        </w:rPr>
        <w:t>means that a dentist has examined the patient, prior-prescribed in the patient record, and delegated the services to be provided because the dentist will be neither present in the facility nor available by live video. Patients or their legal guardians must be informed prior to the appointment that no dentist will be present and therefore no examination will be conducted at that appointment. The dental assistant or dental hygienist must consent to the arrangement and be capable of implementing basic emergency procedures, which have been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one unit of credit granted for each hour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for the purposes of contested cases,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“Knowledge” </w:t>
      </w:r>
      <w:r>
        <w:rPr>
          <w:rFonts w:ascii="Times New Roman" w:hAnsi="Times New Roman"/>
          <w:b w:val="false"/>
          <w:i w:val="false"/>
          <w:color w:val="000000"/>
          <w:sz w:val="22"/>
        </w:rPr>
        <w:t>means any information or evidence acquired from personal observation, from a reliable or authoritative source, or under circumstances that cause the licensee or registrant to believe that there exists a substantial likelihood that an act or omission may have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“Laboratory training” </w:t>
      </w:r>
      <w:r>
        <w:rPr>
          <w:rFonts w:ascii="Times New Roman" w:hAnsi="Times New Roman"/>
          <w:b w:val="false"/>
          <w:i w:val="false"/>
          <w:color w:val="000000"/>
          <w:sz w:val="22"/>
        </w:rPr>
        <w:t>means training that is hands-on, that may include simulation, and that prepares a dental hygienist or dental assistant for patient experiences. Laboratory training can be done with an approved training provider or with a supervising dentist as part of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“Lapsed license,” </w:t>
      </w:r>
      <w:r>
        <w:rPr>
          <w:rFonts w:ascii="Times New Roman" w:hAnsi="Times New Roman"/>
          <w:b w:val="false"/>
          <w:i/>
          <w:color w:val="000000"/>
          <w:sz w:val="22"/>
        </w:rPr>
        <w:t>“lapsed permit,”</w:t>
      </w:r>
      <w:r>
        <w:rPr>
          <w:rFonts w:ascii="Times New Roman" w:hAnsi="Times New Roman"/>
          <w:b w:val="false"/>
          <w:i w:val="false"/>
          <w:color w:val="000000"/>
          <w:sz w:val="22"/>
        </w:rPr>
        <w:t xml:space="preserve"> or </w:t>
      </w:r>
      <w:r>
        <w:rPr>
          <w:rFonts w:ascii="Times New Roman" w:hAnsi="Times New Roman"/>
          <w:b w:val="false"/>
          <w:i/>
          <w:color w:val="000000"/>
          <w:sz w:val="22"/>
        </w:rPr>
        <w:t>“lapsed registration”</w:t>
      </w:r>
      <w:r>
        <w:rPr>
          <w:rFonts w:ascii="Times New Roman" w:hAnsi="Times New Roman"/>
          <w:b w:val="false"/>
          <w:i w:val="false"/>
          <w:color w:val="000000"/>
          <w:sz w:val="22"/>
        </w:rPr>
        <w:t xml:space="preserve"> means a license, permit, or registration that a person has failed to renew as required or the license, permit, or registration of a person who failed to meet stated obligations for renewal within a stated time. A person whose license, permit, or registration has lapsed continues to hold the privilege of licensure or registration in Iowa but may not practice dentistry, dental hygiene, or dental assisting until the license, permit, or registration is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certificate issued to a person to practice as a dentist or dental hygienist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sedation provider” </w:t>
      </w:r>
      <w:r>
        <w:rPr>
          <w:rFonts w:ascii="Times New Roman" w:hAnsi="Times New Roman"/>
          <w:b w:val="false"/>
          <w:i w:val="false"/>
          <w:color w:val="000000"/>
          <w:sz w:val="22"/>
        </w:rPr>
        <w:t>means a physician anesthesiologist currently licensed by the board of medicine or a certified registered nurse anesthetist (CRNA) currently licensed by the board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who has been issued a certificate to practice as a dentist or dental hygienist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examination fees” </w:t>
      </w:r>
      <w:r>
        <w:rPr>
          <w:rFonts w:ascii="Times New Roman" w:hAnsi="Times New Roman"/>
          <w:b w:val="false"/>
          <w:i w:val="false"/>
          <w:color w:val="000000"/>
          <w:sz w:val="22"/>
        </w:rPr>
        <w:t>means actual costs incurred by the board in a physical, mental, chemical abuse, or other impairment-related examination or evaluation of a licensee when the examination or evaluation is conducted pursuant to an order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“Minimal sedation” </w:t>
      </w:r>
      <w:r>
        <w:rPr>
          <w:rFonts w:ascii="Times New Roman" w:hAnsi="Times New Roman"/>
          <w:b w:val="false"/>
          <w:i w:val="false"/>
          <w:color w:val="000000"/>
          <w:sz w:val="22"/>
        </w:rPr>
        <w:t>means a minimally depressed level of consciousness produced by a pharmacological method that retains the patient’s ability to independently and continuously maintain an airway and respond normally to tactile stimulation and verbal command. Although cognitive function and coordination may be modestly impaired, ventilatory and cardiovascular functions are unaffected. A patient whose only response reflex is withdrawal from repeated painful stimuli is not considered to be in a state of minimal sedation.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“Moderate sedation” </w:t>
      </w:r>
      <w:r>
        <w:rPr>
          <w:rFonts w:ascii="Times New Roman" w:hAnsi="Times New Roman"/>
          <w:b w:val="false"/>
          <w:i w:val="false"/>
          <w:color w:val="000000"/>
          <w:sz w:val="22"/>
        </w:rPr>
        <w:t>means a drug-induced depression of consciousness, either by enteral or parenteral means, during which patients respond purposefully to verbal commands, either alone or accompanied by light tactile stimulation. No interventions are required to maintain a patent airway, and spontaneous ventilation is adequate. Cardiovascular function is usually maintained. A patient whose only response reflex is withdrawal from a painful stimulus is not considered to be in a state of moderate sedation.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“Monitoring nitrous oxide inhalation analgesia” </w:t>
      </w:r>
      <w:r>
        <w:rPr>
          <w:rFonts w:ascii="Times New Roman" w:hAnsi="Times New Roman"/>
          <w:b w:val="false"/>
          <w:i w:val="false"/>
          <w:color w:val="000000"/>
          <w:sz w:val="22"/>
        </w:rPr>
        <w:t>means continually observing the patient receiving nitrous oxide and recognizing and notifying the dentist of any adverse reactions or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“MRD” </w:t>
      </w:r>
      <w:r>
        <w:rPr>
          <w:rFonts w:ascii="Times New Roman" w:hAnsi="Times New Roman"/>
          <w:b w:val="false"/>
          <w:i w:val="false"/>
          <w:color w:val="000000"/>
          <w:sz w:val="22"/>
        </w:rPr>
        <w:t xml:space="preserve">means the manufacturer’s maximum recommended dose of a drug as printed in </w:t>
      </w:r>
      <w:r>
        <w:br/>
      </w:r>
      <w:r>
        <w:rPr>
          <w:rFonts w:ascii="Times New Roman" w:hAnsi="Times New Roman"/>
          <w:b w:val="false"/>
          <w:i w:val="false"/>
          <w:color w:val="000000"/>
          <w:sz w:val="22"/>
        </w:rPr>
        <w:t>FDA-approved labeling.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“Nitrous oxide inhalation analgesia” </w:t>
      </w:r>
      <w:r>
        <w:rPr>
          <w:rFonts w:ascii="Times New Roman" w:hAnsi="Times New Roman"/>
          <w:b w:val="false"/>
          <w:i w:val="false"/>
          <w:color w:val="000000"/>
          <w:sz w:val="22"/>
        </w:rPr>
        <w:t>refers to the administration by inhalation of a combination of nitrous oxide and oxygen producing an altered level of consciousness that retains the patient’s ability to independently and continuously maintain an airway and respond appropriately to physical stimulation or verbal command.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“Observational supervision” </w:t>
      </w:r>
      <w:r>
        <w:rPr>
          <w:rFonts w:ascii="Times New Roman" w:hAnsi="Times New Roman"/>
          <w:b w:val="false"/>
          <w:i w:val="false"/>
          <w:color w:val="000000"/>
          <w:sz w:val="22"/>
        </w:rPr>
        <w:t>is intended for expanded function training purposes only and means that the dentist is physically present in the treatment room to oversee and direct all services being provided as part of clinical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 </w:t>
      </w:r>
      <w:r>
        <w:rPr>
          <w:rFonts w:ascii="Times New Roman" w:hAnsi="Times New Roman"/>
          <w:b w:val="false"/>
          <w:i w:val="false"/>
          <w:color w:val="000000"/>
          <w:sz w:val="22"/>
        </w:rPr>
        <w:t>means a drug that produces an agonist effect on opioid receptors and is indicated or used for the treatment of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“Overpayment” </w:t>
      </w:r>
      <w:r>
        <w:rPr>
          <w:rFonts w:ascii="Times New Roman" w:hAnsi="Times New Roman"/>
          <w:b w:val="false"/>
          <w:i w:val="false"/>
          <w:color w:val="000000"/>
          <w:sz w:val="22"/>
        </w:rPr>
        <w:t>means payment in excess of the required fee. Overpayment shall result in the return of the original request and payment, prior to processing, with a clarification of the total amount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the state or the respondent for the purposes of contested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experiences” </w:t>
      </w:r>
      <w:r>
        <w:rPr>
          <w:rFonts w:ascii="Times New Roman" w:hAnsi="Times New Roman"/>
          <w:b w:val="false"/>
          <w:i w:val="false"/>
          <w:color w:val="000000"/>
          <w:sz w:val="22"/>
        </w:rPr>
        <w:t>are procedures that are performed on a patient during the course of clinical training. For the purposes of expanded function training, patient experiences will be completed under the observational supervision of a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monitor” </w:t>
      </w:r>
      <w:r>
        <w:rPr>
          <w:rFonts w:ascii="Times New Roman" w:hAnsi="Times New Roman"/>
          <w:b w:val="false"/>
          <w:i w:val="false"/>
          <w:color w:val="000000"/>
          <w:sz w:val="22"/>
        </w:rPr>
        <w:t>means a dental assistant, dental hygienist, nurse or dentist whose primary responsibility is to continuously monitor a patient receiving moderate sedation, deep sedation or general anesthesia until the patient meets the criteria to be discharged to the recovery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“Pediatric” </w:t>
      </w:r>
      <w:r>
        <w:rPr>
          <w:rFonts w:ascii="Times New Roman" w:hAnsi="Times New Roman"/>
          <w:b w:val="false"/>
          <w:i w:val="false"/>
          <w:color w:val="000000"/>
          <w:sz w:val="22"/>
        </w:rPr>
        <w:t>means patients aged 12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“Peer review” </w:t>
      </w:r>
      <w:r>
        <w:rPr>
          <w:rFonts w:ascii="Times New Roman" w:hAnsi="Times New Roman"/>
          <w:b w:val="false"/>
          <w:i w:val="false"/>
          <w:color w:val="000000"/>
          <w:sz w:val="22"/>
        </w:rPr>
        <w:t xml:space="preserve">is defined in Iowa Code section </w:t>
      </w:r>
      <w:hyperlink r:id="rId13">
        <w:r>
          <w:rPr>
            <w:rStyle w:val="Hyperlink"/>
            <w:rFonts w:ascii="Times New Roman" w:hAnsi="Times New Roman"/>
            <w:b w:val="false"/>
            <w:i w:val="false"/>
            <w:color w:val="000000"/>
            <w:sz w:val="22"/>
          </w:rPr>
          <w:t>272C.1(7)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holder” </w:t>
      </w:r>
      <w:r>
        <w:rPr>
          <w:rFonts w:ascii="Times New Roman" w:hAnsi="Times New Roman"/>
          <w:b w:val="false"/>
          <w:i w:val="false"/>
          <w:color w:val="000000"/>
          <w:sz w:val="22"/>
        </w:rPr>
        <w:t>means an Iowa licensed dentist who has been issued a moderate sedation or general anesthesia permit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supervision” </w:t>
      </w:r>
      <w:r>
        <w:rPr>
          <w:rFonts w:ascii="Times New Roman" w:hAnsi="Times New Roman"/>
          <w:b w:val="false"/>
          <w:i w:val="false"/>
          <w:color w:val="000000"/>
          <w:sz w:val="22"/>
        </w:rPr>
        <w:t>means a licensee or registrant is physically present in the room to oversee and instruct all services of the dental assistant trainee as delegated by a licensed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of dentistry,” </w:t>
      </w:r>
      <w:r>
        <w:rPr>
          <w:rFonts w:ascii="Times New Roman" w:hAnsi="Times New Roman"/>
          <w:b w:val="false"/>
          <w:i w:val="false"/>
          <w:color w:val="000000"/>
          <w:sz w:val="22"/>
        </w:rPr>
        <w:t xml:space="preserve">as defined in Iowa Code section </w:t>
      </w:r>
      <w:hyperlink r:id="rId14">
        <w:r>
          <w:rPr>
            <w:rStyle w:val="Hyperlink"/>
            <w:rFonts w:ascii="Times New Roman" w:hAnsi="Times New Roman"/>
            <w:b w:val="false"/>
            <w:i w:val="false"/>
            <w:color w:val="000000"/>
            <w:sz w:val="22"/>
          </w:rPr>
          <w:t>153.13</w:t>
        </w:r>
      </w:hyperlink>
      <w:r>
        <w:rPr>
          <w:rFonts w:ascii="Times New Roman" w:hAnsi="Times New Roman"/>
          <w:b w:val="false"/>
          <w:i w:val="false"/>
          <w:color w:val="000000"/>
          <w:sz w:val="22"/>
        </w:rPr>
        <w:t>, includes persons who publicly claim to be dentists, dental surgeons, or skilled in the science of dentistry and are deemed to be practicing dentistry. Performance of, or assistance with, any of the following also constitutes the practice of dentistry: examination, diagnosis, treatment, or attempted correction of any disease, condition, disorder, lesion, injury, deformity, or defect of the oral cavity and maxillofacial area, or any phase of any operation incident to tooth whitening, including the instruction or application of tooth whitening materials or procedures. “Tooth whitening” is any process to whiten or lighten the appearance of human teeth by the application of chemicals, whether or not in conjunction with a light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“Prescription drug” </w:t>
      </w:r>
      <w:r>
        <w:rPr>
          <w:rFonts w:ascii="Times New Roman" w:hAnsi="Times New Roman"/>
          <w:b w:val="false"/>
          <w:i w:val="false"/>
          <w:color w:val="000000"/>
          <w:sz w:val="22"/>
        </w:rPr>
        <w:t>means a drug, as classified by the United States Food and Drug Administration, that is required to be prescribed or administered to a patient by a practitioner prior to dispensation.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“Prescription monitoring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“PMP” </w:t>
      </w:r>
      <w:r>
        <w:rPr>
          <w:rFonts w:ascii="Times New Roman" w:hAnsi="Times New Roman"/>
          <w:b w:val="false"/>
          <w:i w:val="false"/>
          <w:color w:val="000000"/>
          <w:sz w:val="22"/>
        </w:rPr>
        <w:t>means the program administered by the board of pharmacy for the collection and provision of information related to drug prescribing and dispensing.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 xml:space="preserve">means the dental board or a panel of the board. In a contested case proceeding, the board may request that an administrative law judge make initial rulings on prehearing matters and assist and advise the board in presiding at the disciplinary contested case hearing. Pursuant to Iowa Code section </w:t>
      </w:r>
      <w:hyperlink r:id="rId15">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the board may delegate the hearing of contested cases to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recommended findings of fact, conclusions of law, decision, and order in a contested case issued by an administrative law judge or hearing panel and for which the full board did not preside.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“Prosthetic” </w:t>
      </w:r>
      <w:r>
        <w:rPr>
          <w:rFonts w:ascii="Times New Roman" w:hAnsi="Times New Roman"/>
          <w:b w:val="false"/>
          <w:i w:val="false"/>
          <w:color w:val="000000"/>
          <w:sz w:val="22"/>
        </w:rPr>
        <w:t>means, for the purposes of expanded function training, any provisional or permanent restoration intended to replace a tooth or teeth.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“Provisional restoration” </w:t>
      </w:r>
      <w:r>
        <w:rPr>
          <w:rFonts w:ascii="Times New Roman" w:hAnsi="Times New Roman"/>
          <w:b w:val="false"/>
          <w:i w:val="false"/>
          <w:color w:val="000000"/>
          <w:sz w:val="22"/>
        </w:rPr>
        <w:t>means, for the purposes of expanded function training, a restoration or appliance that is formed or preformed for temporary purposes, used over a limited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health settings” </w:t>
      </w:r>
      <w:r>
        <w:rPr>
          <w:rFonts w:ascii="Times New Roman" w:hAnsi="Times New Roman"/>
          <w:b w:val="false"/>
          <w:i w:val="false"/>
          <w:color w:val="000000"/>
          <w:sz w:val="22"/>
        </w:rPr>
        <w:t xml:space="preserve">means schools; Head Start programs; programs affiliated with the early childhood Iowa (ECI) initiative authorized by Iowa Code chapter </w:t>
      </w:r>
      <w:hyperlink r:id="rId16">
        <w:r>
          <w:rPr>
            <w:rStyle w:val="Hyperlink"/>
            <w:rFonts w:ascii="Times New Roman" w:hAnsi="Times New Roman"/>
            <w:b w:val="false"/>
            <w:i w:val="false"/>
            <w:color w:val="000000"/>
            <w:sz w:val="22"/>
          </w:rPr>
          <w:t>256I</w:t>
        </w:r>
      </w:hyperlink>
      <w:r>
        <w:rPr>
          <w:rFonts w:ascii="Times New Roman" w:hAnsi="Times New Roman"/>
          <w:b w:val="false"/>
          <w:i w:val="false"/>
          <w:color w:val="000000"/>
          <w:sz w:val="22"/>
        </w:rPr>
        <w:t>; child care centers (excluding home-based child care centers); federally qualified health centers; public health dental vans; free clinics; nonprofit community health centers; nursing facilities; the armed forces; and federal, state, or local public health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health supervision” </w:t>
      </w:r>
      <w:r>
        <w:rPr>
          <w:rFonts w:ascii="Times New Roman" w:hAnsi="Times New Roman"/>
          <w:b w:val="false"/>
          <w:i w:val="false"/>
          <w:color w:val="000000"/>
          <w:sz w:val="22"/>
        </w:rPr>
        <w:t>means that a licensed dentist has entered into a written supervision agreement with a licensed dental hygienist or registered dental assistant and authorized and delegated the services to be provided in a public health setting. Services provided under public health supervision may be rendered without the patient’s first being examined by a licensed dentist. Additionally, the supervising dentist is not required to provide future dental treatment to patients served under public health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“Radiography qualification” </w:t>
      </w:r>
      <w:r>
        <w:rPr>
          <w:rFonts w:ascii="Times New Roman" w:hAnsi="Times New Roman"/>
          <w:b w:val="false"/>
          <w:i w:val="false"/>
          <w:color w:val="000000"/>
          <w:sz w:val="22"/>
        </w:rPr>
        <w:t>means authorization to engage in dental radiography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dental assistant” </w:t>
      </w:r>
      <w:r>
        <w:rPr>
          <w:rFonts w:ascii="Times New Roman" w:hAnsi="Times New Roman"/>
          <w:b w:val="false"/>
          <w:i w:val="false"/>
          <w:color w:val="000000"/>
          <w:sz w:val="22"/>
        </w:rPr>
        <w:t>means any person who has met the requirements for registration and has been issued a certificate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“Registrant” </w:t>
      </w:r>
      <w:r>
        <w:rPr>
          <w:rFonts w:ascii="Times New Roman" w:hAnsi="Times New Roman"/>
          <w:b w:val="false"/>
          <w:i w:val="false"/>
          <w:color w:val="000000"/>
          <w:sz w:val="22"/>
        </w:rPr>
        <w:t>means a person who has been issued a certificate to practice as a dental assistant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means a certificate issued to a person to practice as a dental assistant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“Reportable act or omission” </w:t>
      </w:r>
      <w:r>
        <w:rPr>
          <w:rFonts w:ascii="Times New Roman" w:hAnsi="Times New Roman"/>
          <w:b w:val="false"/>
          <w:i w:val="false"/>
          <w:color w:val="000000"/>
          <w:sz w:val="22"/>
        </w:rPr>
        <w:t>means any conduct that may constitute a basis for disciplinary action under the rules or statutory provisions governing the practice of dentistry, dental hygiene, or dental assisting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“Self-study activities” </w:t>
      </w:r>
      <w:r>
        <w:rPr>
          <w:rFonts w:ascii="Times New Roman" w:hAnsi="Times New Roman"/>
          <w:b w:val="false"/>
          <w:i w:val="false"/>
          <w:color w:val="000000"/>
          <w:sz w:val="22"/>
        </w:rPr>
        <w:t>means, for the purposes of continuing education, the study of something by oneself, without direct supervision or attendance in a class. Self-study activities include Internet-based coursework, video programs, correspondence work, research, or programs that are interactive and require participation and decision making on the part of the viewer. Webinars that include instruction in real time and allow for real-time communication with the instructor are not construed to be self-study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charge” </w:t>
      </w:r>
      <w:r>
        <w:rPr>
          <w:rFonts w:ascii="Times New Roman" w:hAnsi="Times New Roman"/>
          <w:b w:val="false"/>
          <w:i w:val="false"/>
          <w:color w:val="000000"/>
          <w:sz w:val="22"/>
        </w:rPr>
        <w:t>means the amount charged for making a service available online and is in addition to the actual fee for a service itself.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“Sponsor” </w:t>
      </w:r>
      <w:r>
        <w:rPr>
          <w:rFonts w:ascii="Times New Roman" w:hAnsi="Times New Roman"/>
          <w:b w:val="false"/>
          <w:i w:val="false"/>
          <w:color w:val="000000"/>
          <w:sz w:val="22"/>
        </w:rPr>
        <w:t xml:space="preserve">means a person, educational institution, or organization sponsoring continuing education activities. All continuing education activities of such person or organization are deemed approved provided the content complies with the requirements of </w:t>
      </w:r>
      <w:hyperlink r:id="rId17">
        <w:r>
          <w:rPr>
            <w:rStyle w:val="Hyperlink"/>
            <w:rFonts w:ascii="Times New Roman" w:hAnsi="Times New Roman"/>
            <w:b w:val="false"/>
            <w:i w:val="false"/>
            <w:color w:val="000000"/>
            <w:sz w:val="22"/>
          </w:rPr>
          <w:t>481—Chapter 573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“Time-oriented anesthesia record” </w:t>
      </w:r>
      <w:r>
        <w:rPr>
          <w:rFonts w:ascii="Times New Roman" w:hAnsi="Times New Roman"/>
          <w:b w:val="false"/>
          <w:i w:val="false"/>
          <w:color w:val="000000"/>
          <w:sz w:val="22"/>
        </w:rPr>
        <w:t>means documentation at appropriate time intervals of drugs, doses and physiologic data obtained during patient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“Trainee status expiration date” </w:t>
      </w:r>
      <w:r>
        <w:rPr>
          <w:rFonts w:ascii="Times New Roman" w:hAnsi="Times New Roman"/>
          <w:b w:val="false"/>
          <w:i w:val="false"/>
          <w:color w:val="000000"/>
          <w:sz w:val="22"/>
        </w:rPr>
        <w:t>means 12 months from the date of employment as a dental assistant trainee.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“Transcript” </w:t>
      </w:r>
      <w:r>
        <w:rPr>
          <w:rFonts w:ascii="Times New Roman" w:hAnsi="Times New Roman"/>
          <w:b w:val="false"/>
          <w:i w:val="false"/>
          <w:color w:val="000000"/>
          <w:sz w:val="22"/>
        </w:rPr>
        <w:t>means a printed verbatim reproduction of everything said on the record during a hearing or other official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“Witness fees” </w:t>
      </w:r>
      <w:r>
        <w:rPr>
          <w:rFonts w:ascii="Times New Roman" w:hAnsi="Times New Roman"/>
          <w:b w:val="false"/>
          <w:i w:val="false"/>
          <w:color w:val="000000"/>
          <w:sz w:val="22"/>
        </w:rPr>
        <w:t xml:space="preserve">means compensation paid by the board to persons appearing pursuant to subpoena or at the request of the state of Iowa for purposes of providing testimony on the part of the state of Iowa. For the purposes of this rule, compensation shall be the same as outlined in Iowa Code section </w:t>
      </w:r>
      <w:hyperlink r:id="rId18">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or 622.72, as the case may be.</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481—570.2</w:t>
      </w:r>
      <w:r>
        <w:rPr>
          <w:rFonts w:ascii="Times New Roman" w:hAnsi="Times New Roman"/>
          <w:b/>
          <w:i w:val="false"/>
          <w:color w:val="000000"/>
          <w:sz w:val="22"/>
        </w:rPr>
        <w:t xml:space="preserve">(17A,147,153,272C) </w:t>
      </w:r>
      <w:r>
        <w:rPr>
          <w:rFonts w:ascii="Times New Roman" w:hAnsi="Times New Roman"/>
          <w:b/>
          <w:i w:val="false"/>
          <w:color w:val="000000"/>
          <w:sz w:val="22"/>
        </w:rPr>
        <w:t xml:space="preserve">Purpose of the board. </w:t>
      </w:r>
      <w:r>
        <w:rPr>
          <w:rFonts w:ascii="Times New Roman" w:hAnsi="Times New Roman"/>
          <w:b w:val="false"/>
          <w:i w:val="false"/>
          <w:color w:val="000000"/>
          <w:sz w:val="22"/>
        </w:rPr>
        <w:t>The purpose of the board is to protect public health, safety, and welfare by administering, interpreting, and enforcing the provisions of law that relate to the practice of dentistry, dental hygiene, and dental assisting. In pursuit of this mission, the board performs these primary functions: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570.2(1)</w:t>
      </w:r>
      <w:r>
        <w:rPr>
          <w:rFonts w:ascii="Times New Roman" w:hAnsi="Times New Roman"/>
          <w:b w:val="false"/>
          <w:i w:val="false"/>
          <w:color w:val="000000"/>
          <w:sz w:val="22"/>
        </w:rPr>
        <w:t> </w:t>
      </w:r>
      <w:r>
        <w:rPr>
          <w:rFonts w:ascii="Times New Roman" w:hAnsi="Times New Roman"/>
          <w:b w:val="false"/>
          <w:i w:val="false"/>
          <w:color w:val="000000"/>
          <w:sz w:val="22"/>
        </w:rPr>
        <w:t>Administers examinations for the testing of dentists, dental hygienists, and dental assistants;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570.2(2)</w:t>
      </w:r>
      <w:r>
        <w:rPr>
          <w:rFonts w:ascii="Times New Roman" w:hAnsi="Times New Roman"/>
          <w:b w:val="false"/>
          <w:i w:val="false"/>
          <w:color w:val="000000"/>
          <w:sz w:val="22"/>
        </w:rPr>
        <w:t> </w:t>
      </w:r>
      <w:r>
        <w:rPr>
          <w:rFonts w:ascii="Times New Roman" w:hAnsi="Times New Roman"/>
          <w:b w:val="false"/>
          <w:i w:val="false"/>
          <w:color w:val="000000"/>
          <w:sz w:val="22"/>
        </w:rPr>
        <w:t>Issues licenses, registrations, certificates, and permits to qualified practitioners;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570.2(3)</w:t>
      </w:r>
      <w:r>
        <w:rPr>
          <w:rFonts w:ascii="Times New Roman" w:hAnsi="Times New Roman"/>
          <w:b w:val="false"/>
          <w:i w:val="false"/>
          <w:color w:val="000000"/>
          <w:sz w:val="22"/>
        </w:rPr>
        <w:t> </w:t>
      </w:r>
      <w:r>
        <w:rPr>
          <w:rFonts w:ascii="Times New Roman" w:hAnsi="Times New Roman"/>
          <w:b w:val="false"/>
          <w:i w:val="false"/>
          <w:color w:val="000000"/>
          <w:sz w:val="22"/>
        </w:rPr>
        <w:t>Sets standards for license, registration, and permit renewal and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570.2(4)</w:t>
      </w:r>
      <w:r>
        <w:rPr>
          <w:rFonts w:ascii="Times New Roman" w:hAnsi="Times New Roman"/>
          <w:b w:val="false"/>
          <w:i w:val="false"/>
          <w:color w:val="000000"/>
          <w:sz w:val="22"/>
        </w:rPr>
        <w:t> </w:t>
      </w:r>
      <w:r>
        <w:rPr>
          <w:rFonts w:ascii="Times New Roman" w:hAnsi="Times New Roman"/>
          <w:b w:val="false"/>
          <w:i w:val="false"/>
          <w:color w:val="000000"/>
          <w:sz w:val="22"/>
        </w:rPr>
        <w:t>Enforces Iowa laws regulating the practice of dentistry, dental hygiene, and dental assisting;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570.2(5)</w:t>
      </w:r>
      <w:r>
        <w:rPr>
          <w:rFonts w:ascii="Times New Roman" w:hAnsi="Times New Roman"/>
          <w:b w:val="false"/>
          <w:i w:val="false"/>
          <w:color w:val="000000"/>
          <w:sz w:val="22"/>
        </w:rPr>
        <w:t> </w:t>
      </w:r>
      <w:r>
        <w:rPr>
          <w:rFonts w:ascii="Times New Roman" w:hAnsi="Times New Roman"/>
          <w:b w:val="false"/>
          <w:i w:val="false"/>
          <w:color w:val="000000"/>
          <w:sz w:val="22"/>
        </w:rPr>
        <w:t>Investigates complaints concerning violations of the dental practice Act and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570.2(6)</w:t>
      </w:r>
      <w:r>
        <w:rPr>
          <w:rFonts w:ascii="Times New Roman" w:hAnsi="Times New Roman"/>
          <w:b w:val="false"/>
          <w:i w:val="false"/>
          <w:color w:val="000000"/>
          <w:sz w:val="22"/>
        </w:rPr>
        <w:t> </w:t>
      </w:r>
      <w:r>
        <w:rPr>
          <w:rFonts w:ascii="Times New Roman" w:hAnsi="Times New Roman"/>
          <w:b w:val="false"/>
          <w:i w:val="false"/>
          <w:color w:val="000000"/>
          <w:sz w:val="22"/>
        </w:rPr>
        <w:t>Conducts disciplinary hearings and monitors the compliance of licensees or registrants with board orders;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570.2(7)</w:t>
      </w:r>
      <w:r>
        <w:rPr>
          <w:rFonts w:ascii="Times New Roman" w:hAnsi="Times New Roman"/>
          <w:b w:val="false"/>
          <w:i w:val="false"/>
          <w:color w:val="000000"/>
          <w:sz w:val="22"/>
        </w:rPr>
        <w:t> </w:t>
      </w:r>
      <w:r>
        <w:rPr>
          <w:rFonts w:ascii="Times New Roman" w:hAnsi="Times New Roman"/>
          <w:b w:val="false"/>
          <w:i w:val="false"/>
          <w:color w:val="000000"/>
          <w:sz w:val="22"/>
        </w:rPr>
        <w:t>Adopts rules and establishes standards for practitioners pursuant to its authority under the Iowa Code and administrative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481—570.3</w:t>
      </w:r>
      <w:r>
        <w:rPr>
          <w:rFonts w:ascii="Times New Roman" w:hAnsi="Times New Roman"/>
          <w:b/>
          <w:i w:val="false"/>
          <w:color w:val="000000"/>
          <w:sz w:val="22"/>
        </w:rPr>
        <w:t xml:space="preserve">(17A,147,153) </w:t>
      </w:r>
      <w:r>
        <w:rPr>
          <w:rFonts w:ascii="Times New Roman" w:hAnsi="Times New Roman"/>
          <w:b/>
          <w:i w:val="false"/>
          <w:color w:val="000000"/>
          <w:sz w:val="22"/>
        </w:rPr>
        <w:t xml:space="preserve">Organization of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be composed in accordance with Iowa Code sections </w:t>
      </w:r>
      <w:hyperlink r:id="rId22">
        <w:r>
          <w:rPr>
            <w:rStyle w:val="Hyperlink"/>
            <w:rFonts w:ascii="Times New Roman" w:hAnsi="Times New Roman"/>
            <w:b w:val="false"/>
            <w:i w:val="false"/>
            <w:color w:val="000000"/>
            <w:sz w:val="22"/>
          </w:rPr>
          <w:t>147.14(1)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147.19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570.3(2)</w:t>
      </w:r>
      <w:r>
        <w:rPr>
          <w:rFonts w:ascii="Times New Roman" w:hAnsi="Times New Roman"/>
          <w:b w:val="false"/>
          <w:i w:val="false"/>
          <w:color w:val="000000"/>
          <w:sz w:val="22"/>
        </w:rPr>
        <w:t> </w:t>
      </w:r>
      <w:r>
        <w:rPr>
          <w:rFonts w:ascii="Times New Roman" w:hAnsi="Times New Roman"/>
          <w:b w:val="false"/>
          <w:i w:val="false"/>
          <w:color w:val="000000"/>
          <w:sz w:val="22"/>
        </w:rPr>
        <w:t>A simple majority of the members of the board shall constitute a quorum for the purpose of conducting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570.3(3)</w:t>
      </w:r>
      <w:r>
        <w:rPr>
          <w:rFonts w:ascii="Times New Roman" w:hAnsi="Times New Roman"/>
          <w:b w:val="false"/>
          <w:i w:val="false"/>
          <w:color w:val="000000"/>
          <w:sz w:val="22"/>
        </w:rPr>
        <w:t> </w:t>
      </w:r>
      <w:r>
        <w:rPr>
          <w:rFonts w:ascii="Times New Roman" w:hAnsi="Times New Roman"/>
          <w:b w:val="false"/>
          <w:i w:val="false"/>
          <w:color w:val="000000"/>
          <w:sz w:val="22"/>
        </w:rPr>
        <w:t>The board and dental hygiene committee shall elect chairpersons. The board shall also elect officers and should consist of a chairperson, vice chairperson, and other officers as deemed appropriate. Officers will assume their duties immediately following their election.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481—570.4</w:t>
      </w:r>
      <w:r>
        <w:rPr>
          <w:rFonts w:ascii="Times New Roman" w:hAnsi="Times New Roman"/>
          <w:b/>
          <w:i w:val="false"/>
          <w:color w:val="000000"/>
          <w:sz w:val="22"/>
        </w:rPr>
        <w:t xml:space="preserve">(153) </w:t>
      </w:r>
      <w:r>
        <w:rPr>
          <w:rFonts w:ascii="Times New Roman" w:hAnsi="Times New Roman"/>
          <w:b/>
          <w:i w:val="false"/>
          <w:color w:val="000000"/>
          <w:sz w:val="22"/>
        </w:rPr>
        <w:t xml:space="preserve">Organization of the dental hygiene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dental hygiene committee is composed in accordance with Iowa Code sections </w:t>
      </w:r>
      <w:hyperlink r:id="rId24">
        <w:r>
          <w:rPr>
            <w:rStyle w:val="Hyperlink"/>
            <w:rFonts w:ascii="Times New Roman" w:hAnsi="Times New Roman"/>
            <w:b w:val="false"/>
            <w:i w:val="false"/>
            <w:color w:val="000000"/>
            <w:sz w:val="22"/>
          </w:rPr>
          <w:t>147.14(1)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153.33A</w:t>
        </w:r>
      </w:hyperlink>
      <w:r>
        <w:rPr>
          <w:rFonts w:ascii="Times New Roman" w:hAnsi="Times New Roman"/>
          <w:b w:val="false"/>
          <w:i w:val="false"/>
          <w:color w:val="000000"/>
          <w:sz w:val="22"/>
        </w:rPr>
        <w:t>. A simple majority of the members of the committee constitutes a quorum for the purpose of conducting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570.4(2)</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6">
        <w:r>
          <w:rPr>
            <w:rStyle w:val="Hyperlink"/>
            <w:rFonts w:ascii="Times New Roman" w:hAnsi="Times New Roman"/>
            <w:b w:val="false"/>
            <w:i w:val="false"/>
            <w:color w:val="000000"/>
            <w:sz w:val="22"/>
          </w:rPr>
          <w:t>153.33A</w:t>
        </w:r>
      </w:hyperlink>
      <w:r>
        <w:rPr>
          <w:rFonts w:ascii="Times New Roman" w:hAnsi="Times New Roman"/>
          <w:b w:val="false"/>
          <w:i w:val="false"/>
          <w:color w:val="000000"/>
          <w:sz w:val="22"/>
        </w:rPr>
        <w:t>,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Has authority to and may adopt recommendations in regard to matters pertaining to the practice, discipline, education, examination, and licensure of dental hygienists and shall carry out other duties as assigned by the board. Recommendations by the committee will be reported to the board. The board shall review and ratify all committee recommendations unless the board makes a specific finding that the recommendation exceeds the jurisdiction of the committee, expands the scope of the committee beyond the authority granted in subrule </w:t>
      </w:r>
      <w:r>
        <w:rPr>
          <w:rFonts w:ascii="Times New Roman" w:hAnsi="Times New Roman"/>
          <w:b w:val="false"/>
          <w:i w:val="false"/>
          <w:color w:val="000000"/>
          <w:sz w:val="22"/>
        </w:rPr>
        <w:t>1.4(4)</w:t>
      </w:r>
      <w:r>
        <w:rPr>
          <w:rFonts w:ascii="Times New Roman" w:hAnsi="Times New Roman"/>
          <w:b w:val="false"/>
          <w:i w:val="false"/>
          <w:color w:val="000000"/>
          <w:sz w:val="22"/>
        </w:rPr>
        <w:t>, creates an undue financial impact, or is not supported by the record. The board may not amend a committee recommendation without the concurrence of the majority of the members of the committee;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Does not have regulatory or disciplinary authority with regard to dentists, dental assistants, dental lab technicians, or other auxiliary dental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570.4(3)</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7">
        <w:r>
          <w:rPr>
            <w:rStyle w:val="Hyperlink"/>
            <w:rFonts w:ascii="Times New Roman" w:hAnsi="Times New Roman"/>
            <w:b w:val="false"/>
            <w:i w:val="false"/>
            <w:color w:val="000000"/>
            <w:sz w:val="22"/>
          </w:rPr>
          <w:t>153.33A</w:t>
        </w:r>
      </w:hyperlink>
      <w:r>
        <w:rPr>
          <w:rFonts w:ascii="Times New Roman" w:hAnsi="Times New Roman"/>
          <w:b w:val="false"/>
          <w:i w:val="false"/>
          <w:color w:val="000000"/>
          <w:sz w:val="22"/>
        </w:rPr>
        <w:t>, this rule will not be construed as impacting or changing the scope of practice of the profession of dental hygiene or authorizing the independent practice of dental hygiene.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147.14</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153.33A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481—570.5</w:t>
      </w:r>
      <w:r>
        <w:rPr>
          <w:rFonts w:ascii="Times New Roman" w:hAnsi="Times New Roman"/>
          <w:b/>
          <w:i w:val="false"/>
          <w:color w:val="000000"/>
          <w:sz w:val="22"/>
        </w:rPr>
        <w:t xml:space="preserve">(153) </w:t>
      </w:r>
      <w:r>
        <w:rPr>
          <w:rFonts w:ascii="Times New Roman" w:hAnsi="Times New Roman"/>
          <w:b/>
          <w:i w:val="false"/>
          <w:color w:val="000000"/>
          <w:sz w:val="22"/>
        </w:rPr>
        <w:t xml:space="preserve">Committees of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570.5(1)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chapter </w:t>
      </w:r>
      <w:hyperlink r:id="rId3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section </w:t>
      </w:r>
      <w:hyperlink r:id="rId32">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the board may establish and utilize ad hoc advisory committees to conduct business. The board chairperson may appoint committee members and chairpersons.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should annually review its committees to determine ongoing needs and compliance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committees may not constitute a quorum of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Appointments to a standing committee of the board specified in subrule </w:t>
      </w:r>
      <w:r>
        <w:rPr>
          <w:rFonts w:ascii="Times New Roman" w:hAnsi="Times New Roman"/>
          <w:b w:val="false"/>
          <w:i w:val="false"/>
          <w:color w:val="000000"/>
          <w:sz w:val="22"/>
        </w:rPr>
        <w:t>1.5(2)</w:t>
      </w:r>
      <w:r>
        <w:rPr>
          <w:rFonts w:ascii="Times New Roman" w:hAnsi="Times New Roman"/>
          <w:b w:val="false"/>
          <w:i w:val="false"/>
          <w:color w:val="000000"/>
          <w:sz w:val="22"/>
        </w:rPr>
        <w:t xml:space="preserve"> are subject to board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Committee appointments will be for 12 months unless specified otherwise at the time of appointment. Pursuant to Iowa Code section </w:t>
      </w:r>
      <w:hyperlink r:id="rId33">
        <w:r>
          <w:rPr>
            <w:rStyle w:val="Hyperlink"/>
            <w:rFonts w:ascii="Times New Roman" w:hAnsi="Times New Roman"/>
            <w:b w:val="false"/>
            <w:i w:val="false"/>
            <w:color w:val="000000"/>
            <w:sz w:val="22"/>
          </w:rPr>
          <w:t>153.33(1)</w:t>
        </w:r>
      </w:hyperlink>
      <w:r>
        <w:rPr>
          <w:rFonts w:ascii="Times New Roman" w:hAnsi="Times New Roman"/>
          <w:b w:val="false"/>
          <w:i/>
          <w:color w:val="000000"/>
          <w:sz w:val="22"/>
        </w:rPr>
        <w:t>“f,”</w:t>
      </w:r>
      <w:r>
        <w:rPr>
          <w:rFonts w:ascii="Times New Roman" w:hAnsi="Times New Roman"/>
          <w:b w:val="false"/>
          <w:i w:val="false"/>
          <w:color w:val="000000"/>
          <w:sz w:val="22"/>
        </w:rPr>
        <w:t xml:space="preserve"> committee members may be reimbursed for actual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Committees may hold meetings as needed to conduct the duties authorized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570.5(2)</w:t>
      </w:r>
      <w:r>
        <w:rPr>
          <w:rFonts w:ascii="Times New Roman" w:hAnsi="Times New Roman"/>
          <w:b w:val="false"/>
          <w:i w:val="false"/>
          <w:color w:val="000000"/>
          <w:sz w:val="22"/>
        </w:rPr>
        <w:t> </w:t>
      </w:r>
      <w:r>
        <w:rPr>
          <w:rFonts w:ascii="Times New Roman" w:hAnsi="Times New Roman"/>
          <w:b w:val="false"/>
          <w:i w:val="false"/>
          <w:color w:val="000000"/>
          <w:sz w:val="22"/>
        </w:rPr>
        <w:t>The standing committees of the board may include the executive committee, anesthesia credentials committee, and licensure and registration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executive committee may include up to four members of the board. The committee should be composed of the chairperson, vice-chairperson and other members as elected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anesthesia credentials committee should include but not be limited to a dentist member of the board, two members who hold a moderate sedation permit, and two members who hold a general anesthesia permit issued in accordance with </w:t>
      </w:r>
      <w:hyperlink r:id="rId34">
        <w:r>
          <w:rPr>
            <w:rStyle w:val="Hyperlink"/>
            <w:rFonts w:ascii="Times New Roman" w:hAnsi="Times New Roman"/>
            <w:b w:val="false"/>
            <w:i w:val="false"/>
            <w:color w:val="000000"/>
            <w:sz w:val="22"/>
          </w:rPr>
          <w:t>481—Chapter 579</w:t>
        </w:r>
      </w:hyperlink>
      <w:r>
        <w:rPr>
          <w:rFonts w:ascii="Times New Roman" w:hAnsi="Times New Roman"/>
          <w:b w:val="false"/>
          <w:i w:val="false"/>
          <w:color w:val="000000"/>
          <w:sz w:val="22"/>
        </w:rPr>
        <w:t>. The committee may perform the following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Review and take action on all applications for moderate sedation or general anesthesia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and take action on requests for approval of courses that provide training in the administration of moderate sedation, deep sedation, general anesthesia, or a combination thereof for the purposes of qualifying a licensee for a sedation permit in accordance with </w:t>
      </w:r>
      <w:hyperlink r:id="rId35">
        <w:r>
          <w:rPr>
            <w:rStyle w:val="Hyperlink"/>
            <w:rFonts w:ascii="Times New Roman" w:hAnsi="Times New Roman"/>
            <w:b w:val="false"/>
            <w:i w:val="false"/>
            <w:color w:val="000000"/>
            <w:sz w:val="22"/>
          </w:rPr>
          <w:t>481—Chapter 579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Perform peer reviews or evaluations as deemed necessary and report to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duties authorized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 registration committee should include three members of the board, two of which are dentists.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 registration committee may review applications for licensure, registration and permit and take action as authorized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 other duties authorized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481—570.6</w:t>
      </w:r>
      <w:r>
        <w:rPr>
          <w:rFonts w:ascii="Times New Roman" w:hAnsi="Times New Roman"/>
          <w:b/>
          <w:i w:val="false"/>
          <w:color w:val="000000"/>
          <w:sz w:val="22"/>
        </w:rPr>
        <w:t xml:space="preserve">(17A,21,147,153) </w:t>
      </w:r>
      <w:r>
        <w:rPr>
          <w:rFonts w:ascii="Times New Roman" w:hAnsi="Times New Roman"/>
          <w:b/>
          <w:i w:val="false"/>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570.6(1)</w:t>
      </w:r>
      <w:r>
        <w:rPr>
          <w:rFonts w:ascii="Times New Roman" w:hAnsi="Times New Roman"/>
          <w:b w:val="false"/>
          <w:i w:val="false"/>
          <w:color w:val="000000"/>
          <w:sz w:val="22"/>
        </w:rPr>
        <w:t> </w:t>
      </w:r>
      <w:r>
        <w:rPr>
          <w:rFonts w:ascii="Times New Roman" w:hAnsi="Times New Roman"/>
          <w:b w:val="false"/>
          <w:i w:val="false"/>
          <w:color w:val="000000"/>
          <w:sz w:val="22"/>
        </w:rPr>
        <w:t>The board and dental hygiene committee may hold meetings as needed or as requested by the chairperson, the vice chairperson, or a majority of the board or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570.6(2)</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notices stating the time and place of the meetings shall be provided consistent with Iowa Code chapter </w:t>
      </w:r>
      <w:hyperlink r:id="rId36">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Except as otherwise provided by statute, all board meetings shall be open and the public shall be permitted to attend.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570.6(3)</w:t>
      </w:r>
      <w:r>
        <w:rPr>
          <w:rFonts w:ascii="Times New Roman" w:hAnsi="Times New Roman"/>
          <w:b w:val="false"/>
          <w:i w:val="false"/>
          <w:color w:val="000000"/>
          <w:sz w:val="22"/>
        </w:rPr>
        <w:t> </w:t>
      </w:r>
      <w:r>
        <w:rPr>
          <w:rFonts w:ascii="Times New Roman" w:hAnsi="Times New Roman"/>
          <w:b w:val="false"/>
          <w:i w:val="false"/>
          <w:color w:val="000000"/>
          <w:sz w:val="22"/>
        </w:rPr>
        <w:t>Dates and locations of board and committee meetings may be obtained from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481—570.7</w:t>
      </w:r>
      <w:r>
        <w:rPr>
          <w:rFonts w:ascii="Times New Roman" w:hAnsi="Times New Roman"/>
          <w:b/>
          <w:i w:val="false"/>
          <w:color w:val="000000"/>
          <w:sz w:val="22"/>
        </w:rPr>
        <w:t xml:space="preserve">(17A,272C) </w:t>
      </w:r>
      <w:r>
        <w:rPr>
          <w:rFonts w:ascii="Times New Roman" w:hAnsi="Times New Roman"/>
          <w:b/>
          <w:i w:val="false"/>
          <w:color w:val="000000"/>
          <w:sz w:val="22"/>
        </w:rPr>
        <w:t xml:space="preserve">Adoption of uniform and model rules. </w:t>
      </w:r>
      <w:r>
        <w:rPr>
          <w:rFonts w:ascii="Times New Roman" w:hAnsi="Times New Roman"/>
          <w:b w:val="false"/>
          <w:i w:val="false"/>
          <w:color w:val="000000"/>
          <w:sz w:val="22"/>
        </w:rPr>
        <w:t>The board hereby adopts by reference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570.7(1)</w:t>
      </w:r>
      <w:r>
        <w:rPr>
          <w:rFonts w:ascii="Times New Roman" w:hAnsi="Times New Roman"/>
          <w:b w:val="false"/>
          <w:i w:val="false"/>
          <w:color w:val="000000"/>
          <w:sz w:val="22"/>
        </w:rPr>
        <w:t> </w:t>
      </w:r>
      <w:r>
        <w:rPr>
          <w:rFonts w:ascii="Times New Roman" w:hAnsi="Times New Roman"/>
          <w:b w:val="false"/>
          <w:i w:val="false"/>
          <w:color w:val="000000"/>
          <w:sz w:val="22"/>
        </w:rPr>
        <w:t xml:space="preserve">Uniform Rules on Agency Procedure, </w:t>
      </w:r>
      <w:hyperlink r:id="rId37">
        <w:r>
          <w:rPr>
            <w:rStyle w:val="Hyperlink"/>
            <w:rFonts w:ascii="Times New Roman" w:hAnsi="Times New Roman"/>
            <w:b w:val="false"/>
            <w:i w:val="false"/>
            <w:color w:val="000000"/>
            <w:sz w:val="22"/>
          </w:rPr>
          <w:t>481—Chapter 2</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481—Chapter 3</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481—Chapter 4</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481—Chapter 5</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570.7(2)</w:t>
      </w:r>
      <w:r>
        <w:rPr>
          <w:rFonts w:ascii="Times New Roman" w:hAnsi="Times New Roman"/>
          <w:b w:val="false"/>
          <w:i w:val="false"/>
          <w:color w:val="000000"/>
          <w:sz w:val="22"/>
        </w:rPr>
        <w:t> </w:t>
      </w:r>
      <w:r>
        <w:rPr>
          <w:rFonts w:ascii="Times New Roman" w:hAnsi="Times New Roman"/>
          <w:b w:val="false"/>
          <w:i w:val="false"/>
          <w:color w:val="000000"/>
          <w:sz w:val="22"/>
        </w:rPr>
        <w:t xml:space="preserve">Military Service, Veteran Reciprocity, and Spouses of Active-Duty Service Members, </w:t>
      </w:r>
      <w:hyperlink r:id="rId42">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570.7(3)</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Licensing and Child Support Noncompliance, Student Loan Repayment Noncompliance, and Nonpayment of State Debt, </w:t>
      </w:r>
      <w:hyperlink r:id="rId43">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570.7(4)</w:t>
      </w:r>
      <w:r>
        <w:rPr>
          <w:rFonts w:ascii="Times New Roman" w:hAnsi="Times New Roman"/>
          <w:b w:val="false"/>
          <w:i w:val="false"/>
          <w:color w:val="000000"/>
          <w:sz w:val="22"/>
        </w:rPr>
        <w:t> </w:t>
      </w:r>
      <w:r>
        <w:rPr>
          <w:rFonts w:ascii="Times New Roman" w:hAnsi="Times New Roman"/>
          <w:b w:val="false"/>
          <w:i w:val="false"/>
          <w:color w:val="000000"/>
          <w:sz w:val="22"/>
        </w:rPr>
        <w:t xml:space="preserve">Model Rules for Use of Criminal Convictions in Eligibility Determinations and Initial Licensing Decisions, </w:t>
      </w:r>
      <w:hyperlink r:id="rId44">
        <w:r>
          <w:rPr>
            <w:rStyle w:val="Hyperlink"/>
            <w:rFonts w:ascii="Times New Roman" w:hAnsi="Times New Roman"/>
            <w:b w:val="false"/>
            <w:i w:val="false"/>
            <w:color w:val="000000"/>
            <w:sz w:val="22"/>
          </w:rPr>
          <w:t>481—Chapter 502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570.7(5)</w:t>
      </w:r>
      <w:r>
        <w:rPr>
          <w:rFonts w:ascii="Times New Roman" w:hAnsi="Times New Roman"/>
          <w:b w:val="false"/>
          <w:i w:val="false"/>
          <w:color w:val="000000"/>
          <w:sz w:val="22"/>
        </w:rPr>
        <w:t> </w:t>
      </w:r>
      <w:r>
        <w:rPr>
          <w:rFonts w:ascii="Times New Roman" w:hAnsi="Times New Roman"/>
          <w:b w:val="false"/>
          <w:i w:val="false"/>
          <w:color w:val="000000"/>
          <w:sz w:val="22"/>
        </w:rPr>
        <w:t xml:space="preserve">Model Rules for Contested Cases Before Licensing Boards, </w:t>
      </w:r>
      <w:hyperlink r:id="rId45">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570.7(6)</w:t>
      </w:r>
      <w:r>
        <w:rPr>
          <w:rFonts w:ascii="Times New Roman" w:hAnsi="Times New Roman"/>
          <w:b w:val="false"/>
          <w:i w:val="false"/>
          <w:color w:val="000000"/>
          <w:sz w:val="22"/>
        </w:rPr>
        <w:t> </w:t>
      </w:r>
      <w:r>
        <w:rPr>
          <w:rFonts w:ascii="Times New Roman" w:hAnsi="Times New Roman"/>
          <w:b w:val="false"/>
          <w:i w:val="false"/>
          <w:color w:val="000000"/>
          <w:sz w:val="22"/>
        </w:rPr>
        <w:t xml:space="preserve">Model Rules for Licensee Review Committee, </w:t>
      </w:r>
      <w:hyperlink r:id="rId46">
        <w:r>
          <w:rPr>
            <w:rStyle w:val="Hyperlink"/>
            <w:rFonts w:ascii="Times New Roman" w:hAnsi="Times New Roman"/>
            <w:b w:val="false"/>
            <w:i w:val="false"/>
            <w:color w:val="000000"/>
            <w:sz w:val="22"/>
          </w:rPr>
          <w:t>481—Chapter 505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sections </w:t>
      </w:r>
      <w:hyperlink r:id="rId4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147.14(1)</w:t>
        </w:r>
        <w:r>
          <w:rPr>
            <w:rFonts w:ascii="Times New Roman" w:hAnsi="Times New Roman"/>
            <w:b w:val="false"/>
            <w:i/>
            <w:color w:val="000000"/>
            <w:sz w:val="22"/>
          </w:rPr>
          <w:t>“c,”</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147.22</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153.33A(1)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8984C</w:t>
      </w:r>
      <w:r>
        <w:rPr>
          <w:rFonts w:ascii="Times New Roman" w:hAnsi="Times New Roman"/>
          <w:b w:val="false"/>
          <w:i w:val="false"/>
          <w:color w:val="000000"/>
          <w:sz w:val="21"/>
        </w:rPr>
        <w:t xml:space="preserve"> (Notice ARC 8504C, IAB 12/11/24)</w:t>
      </w:r>
      <w:r>
        <w:rPr>
          <w:rFonts w:ascii="Times New Roman" w:hAnsi="Times New Roman"/>
          <w:b w:val="false"/>
          <w:i w:val="false"/>
          <w:color w:val="000000"/>
          <w:sz w:val="21"/>
        </w:rPr>
        <w:t>, IAB 3/5/25, effective 4/9/25]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3.pdf" Type="http://schemas.openxmlformats.org/officeDocument/2006/relationships/hyperlink" Id="rId5"/>
    <Relationship TargetMode="External" Target="https://www.legis.iowa.gov/docs/ico/chapter/17A.2.pdf" Type="http://schemas.openxmlformats.org/officeDocument/2006/relationships/hyperlink" Id="rId6"/>
    <Relationship TargetMode="External" Target="https://www.legis.iowa.gov/docs/ico/chapter/17A.10A.pdf" Type="http://schemas.openxmlformats.org/officeDocument/2006/relationships/hyperlink" Id="rId7"/>
    <Relationship TargetMode="External" Target="https://www.legis.iowa.gov/docs/ico/chapter/124.pdf" Type="http://schemas.openxmlformats.org/officeDocument/2006/relationships/hyperlink" Id="rId8"/>
    <Relationship TargetMode="External" Target="https://www.legis.iowa.gov/docs/ico/chapter/153.39.pdf" Type="http://schemas.openxmlformats.org/officeDocument/2006/relationships/hyperlink" Id="rId9"/>
    <Relationship TargetMode="External" Target="https://www.legis.iowa.gov/docs/iac/chapter/481.575.pdf" Type="http://schemas.openxmlformats.org/officeDocument/2006/relationships/hyperlink" Id="rId10"/>
    <Relationship TargetMode="External" Target="https://www.legis.iowa.gov/docs/ico/chapter/153.33A.pdf" Type="http://schemas.openxmlformats.org/officeDocument/2006/relationships/hyperlink" Id="rId11"/>
    <Relationship TargetMode="External" Target="https://www.legis.iowa.gov/docs/ico/chapter/70A.9.pdf" Type="http://schemas.openxmlformats.org/officeDocument/2006/relationships/hyperlink" Id="rId12"/>
    <Relationship TargetMode="External" Target="https://www.legis.iowa.gov/docs/ico/chapter/272C.1.pdf" Type="http://schemas.openxmlformats.org/officeDocument/2006/relationships/hyperlink" Id="rId13"/>
    <Relationship TargetMode="External" Target="https://www.legis.iowa.gov/docs/ico/chapter/153.13.pdf" Type="http://schemas.openxmlformats.org/officeDocument/2006/relationships/hyperlink" Id="rId14"/>
    <Relationship TargetMode="External" Target="https://www.legis.iowa.gov/docs/ico/chapter/272C.6.pdf" Type="http://schemas.openxmlformats.org/officeDocument/2006/relationships/hyperlink" Id="rId15"/>
    <Relationship TargetMode="External" Target="https://www.legis.iowa.gov/docs/ico/chapter/256I.pdf" Type="http://schemas.openxmlformats.org/officeDocument/2006/relationships/hyperlink" Id="rId16"/>
    <Relationship TargetMode="External" Target="https://www.legis.iowa.gov/docs/iac/chapter/481.573.pdf" Type="http://schemas.openxmlformats.org/officeDocument/2006/relationships/hyperlink" Id="rId17"/>
    <Relationship TargetMode="External" Target="https://www.legis.iowa.gov/docs/ico/chapter/622.69.pdf" Type="http://schemas.openxmlformats.org/officeDocument/2006/relationships/hyperlink" Id="rId18"/>
    <Relationship TargetMode="External" Target="https://www.legis.iowa.gov/docs/ico/chapter/147.pdf" Type="http://schemas.openxmlformats.org/officeDocument/2006/relationships/hyperlink" Id="rId19"/>
    <Relationship TargetMode="External" Target="https://www.legis.iowa.gov/docs/ico/chapter/153.pdf" Type="http://schemas.openxmlformats.org/officeDocument/2006/relationships/hyperlink" Id="rId20"/>
    <Relationship TargetMode="External" Target="https://www.legis.iowa.gov/docs/ico/chapter/272C.pdf" Type="http://schemas.openxmlformats.org/officeDocument/2006/relationships/hyperlink" Id="rId21"/>
    <Relationship TargetMode="External" Target="https://www.legis.iowa.gov/docs/ico/chapter/147.14.pdf" Type="http://schemas.openxmlformats.org/officeDocument/2006/relationships/hyperlink" Id="rId22"/>
    <Relationship TargetMode="External" Target="https://www.legis.iowa.gov/docs/ico/chapter/147.19.pdf" Type="http://schemas.openxmlformats.org/officeDocument/2006/relationships/hyperlink" Id="rId23"/>
    <Relationship TargetMode="External" Target="https://www.legis.iowa.gov/docs/ico/chapter/147.14.pdf" Type="http://schemas.openxmlformats.org/officeDocument/2006/relationships/hyperlink" Id="rId24"/>
    <Relationship TargetMode="External" Target="https://www.legis.iowa.gov/docs/ico/chapter/153.33A.pdf" Type="http://schemas.openxmlformats.org/officeDocument/2006/relationships/hyperlink" Id="rId25"/>
    <Relationship TargetMode="External" Target="https://www.legis.iowa.gov/docs/ico/chapter/153.33A.pdf" Type="http://schemas.openxmlformats.org/officeDocument/2006/relationships/hyperlink" Id="rId26"/>
    <Relationship TargetMode="External" Target="https://www.legis.iowa.gov/docs/ico/chapter/153.33A.pdf" Type="http://schemas.openxmlformats.org/officeDocument/2006/relationships/hyperlink" Id="rId27"/>
    <Relationship TargetMode="External" Target="https://www.legis.iowa.gov/docs/ico/chapter/147.14.pdf" Type="http://schemas.openxmlformats.org/officeDocument/2006/relationships/hyperlink" Id="rId28"/>
    <Relationship TargetMode="External" Target="https://www.legis.iowa.gov/docs/ico/chapter/153.33.pdf" Type="http://schemas.openxmlformats.org/officeDocument/2006/relationships/hyperlink" Id="rId29"/>
    <Relationship TargetMode="External" Target="https://www.legis.iowa.gov/docs/ico/chapter/153.33A.pdf" Type="http://schemas.openxmlformats.org/officeDocument/2006/relationships/hyperlink" Id="rId30"/>
    <Relationship TargetMode="External" Target="https://www.legis.iowa.gov/docs/ico/chapter/272C.pdf" Type="http://schemas.openxmlformats.org/officeDocument/2006/relationships/hyperlink" Id="rId31"/>
    <Relationship TargetMode="External" Target="https://www.legis.iowa.gov/docs/ico/chapter/153.33.pdf" Type="http://schemas.openxmlformats.org/officeDocument/2006/relationships/hyperlink" Id="rId32"/>
    <Relationship TargetMode="External" Target="https://www.legis.iowa.gov/docs/ico/chapter/153.33.pdf" Type="http://schemas.openxmlformats.org/officeDocument/2006/relationships/hyperlink" Id="rId33"/>
    <Relationship TargetMode="External" Target="https://www.legis.iowa.gov/docs/iac/chapter/481.579.pdf" Type="http://schemas.openxmlformats.org/officeDocument/2006/relationships/hyperlink" Id="rId34"/>
    <Relationship TargetMode="External" Target="https://www.legis.iowa.gov/docs/iac/chapter/481.579.pdf" Type="http://schemas.openxmlformats.org/officeDocument/2006/relationships/hyperlink" Id="rId35"/>
    <Relationship TargetMode="External" Target="https://www.legis.iowa.gov/docs/ico/chapter/21.pdf" Type="http://schemas.openxmlformats.org/officeDocument/2006/relationships/hyperlink" Id="rId36"/>
    <Relationship TargetMode="External" Target="https://www.legis.iowa.gov/docs/iac/chapter/481.2.pdf" Type="http://schemas.openxmlformats.org/officeDocument/2006/relationships/hyperlink" Id="rId37"/>
    <Relationship TargetMode="External" Target="https://www.legis.iowa.gov/docs/iac/chapter/481.3.pdf" Type="http://schemas.openxmlformats.org/officeDocument/2006/relationships/hyperlink" Id="rId38"/>
    <Relationship TargetMode="External" Target="https://www.legis.iowa.gov/docs/iac/chapter/481.4.pdf" Type="http://schemas.openxmlformats.org/officeDocument/2006/relationships/hyperlink" Id="rId39"/>
    <Relationship TargetMode="External" Target="https://www.legis.iowa.gov/docs/iac/chapter/481.5.pdf" Type="http://schemas.openxmlformats.org/officeDocument/2006/relationships/hyperlink" Id="rId40"/>
    <Relationship TargetMode="External" Target="https://www.legis.iowa.gov/docs/iac/chapter/481.6.pdf" Type="http://schemas.openxmlformats.org/officeDocument/2006/relationships/hyperlink" Id="rId41"/>
    <Relationship TargetMode="External" Target="https://www.legis.iowa.gov/docs/iac/chapter/481.7.pdf" Type="http://schemas.openxmlformats.org/officeDocument/2006/relationships/hyperlink" Id="rId42"/>
    <Relationship TargetMode="External" Target="https://www.legis.iowa.gov/docs/iac/chapter/481.8.pdf" Type="http://schemas.openxmlformats.org/officeDocument/2006/relationships/hyperlink" Id="rId43"/>
    <Relationship TargetMode="External" Target="https://www.legis.iowa.gov/docs/iac/chapter/481.502.pdf" Type="http://schemas.openxmlformats.org/officeDocument/2006/relationships/hyperlink" Id="rId44"/>
    <Relationship TargetMode="External" Target="https://www.legis.iowa.gov/docs/iac/chapter/481.506.pdf" Type="http://schemas.openxmlformats.org/officeDocument/2006/relationships/hyperlink" Id="rId45"/>
    <Relationship TargetMode="External" Target="https://www.legis.iowa.gov/docs/iac/chapter/481.505.pdf" Type="http://schemas.openxmlformats.org/officeDocument/2006/relationships/hyperlink" Id="rId46"/>
    <Relationship TargetMode="External" Target="https://www.legis.iowa.gov/docs/ico/chapter/21.pdf" Type="http://schemas.openxmlformats.org/officeDocument/2006/relationships/hyperlink" Id="rId47"/>
    <Relationship TargetMode="External" Target="https://www.legis.iowa.gov/docs/ico/chapter/17A.3.pdf" Type="http://schemas.openxmlformats.org/officeDocument/2006/relationships/hyperlink" Id="rId48"/>
    <Relationship TargetMode="External" Target="https://www.legis.iowa.gov/docs/ico/chapter/147.14.pdf" Type="http://schemas.openxmlformats.org/officeDocument/2006/relationships/hyperlink" Id="rId49"/>
    <Relationship TargetMode="External" Target="https://www.legis.iowa.gov/docs/ico/chapter/147.22.pdf" Type="http://schemas.openxmlformats.org/officeDocument/2006/relationships/hyperlink" Id="rId50"/>
    <Relationship TargetMode="External" Target="https://www.legis.iowa.gov/docs/ico/chapter/153.33A.pdf" Type="http://schemas.openxmlformats.org/officeDocument/2006/relationships/hyperlink" Id="rId5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