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HOSPITALS</w:t>
      </w:r>
    </w:p>
    <w:p>
      <w:pPr>
        <w:spacing w:before="0" w:after="0"/>
        <w:ind w:left="120"/>
        <w:jc w:val="center"/>
      </w:pPr>
      <w:r>
        <w:rPr>
          <w:rFonts w:ascii="Times New Roman" w:hAnsi="Times New Roman"/>
          <w:b w:val="false"/>
          <w:i w:val="false"/>
          <w:color w:val="000000"/>
          <w:sz w:val="14"/>
        </w:rPr>
        <w:t>[Prior to 12/14/88, see Health Department[470] Ch 51]</w:t>
      </w:r>
    </w:p>
    <w:p>
      <w:pPr>
        <w:spacing w:before="0" w:after="0"/>
        <w:ind w:left="120"/>
        <w:jc w:val="center"/>
      </w:pPr>
      <w:r>
        <w:rPr>
          <w:rFonts w:ascii="Times New Roman" w:hAnsi="Times New Roman"/>
          <w:b w:val="false"/>
          <w:i w:val="false"/>
          <w:color w:val="000000"/>
          <w:sz w:val="14"/>
        </w:rPr>
        <w:t>[Prior to 8/8/90, see Public Health[641] 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481—51.1</w:t>
      </w:r>
      <w:r>
        <w:rPr>
          <w:rFonts w:ascii="Times New Roman" w:hAnsi="Times New Roman"/>
          <w:b/>
          <w:i w:val="false"/>
          <w:color w:val="000000"/>
          <w:sz w:val="22"/>
        </w:rPr>
        <w:t xml:space="preserve">(135B)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access hospital” </w:t>
      </w:r>
      <w:r>
        <w:rPr>
          <w:rFonts w:ascii="Times New Roman" w:hAnsi="Times New Roman"/>
          <w:b w:val="false"/>
          <w:i w:val="false"/>
          <w:color w:val="000000"/>
          <w:sz w:val="22"/>
        </w:rPr>
        <w:t xml:space="preserve">means any hospital located in a rural area and certified by the Iowa department of health and human services as being a necessary provider of health care services to residents of the area. A “critical access hospital” makes available 24-hour emergency care, is a designated provider in a rural health network, and meets the criteria specified pursuant to rule </w:t>
      </w:r>
      <w:hyperlink r:id="rId5">
        <w:r>
          <w:rPr>
            <w:rStyle w:val="Hyperlink"/>
            <w:rFonts w:ascii="Times New Roman" w:hAnsi="Times New Roman"/>
            <w:b w:val="false"/>
            <w:i w:val="false"/>
            <w:color w:val="000000"/>
            <w:sz w:val="22"/>
          </w:rPr>
          <w:t>481—51.27</w:t>
        </w:r>
      </w:hyperlink>
      <w:r>
        <w:rPr>
          <w:rFonts w:ascii="Times New Roman" w:hAnsi="Times New Roman"/>
          <w:b w:val="false"/>
          <w:i w:val="false"/>
          <w:color w:val="000000"/>
          <w:sz w:val="22"/>
        </w:rPr>
        <w:t xml:space="preserve">(135B).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“Governing board” </w:t>
      </w:r>
      <w:r>
        <w:rPr>
          <w:rFonts w:ascii="Times New Roman" w:hAnsi="Times New Roman"/>
          <w:b w:val="false"/>
          <w:i w:val="false"/>
          <w:color w:val="000000"/>
          <w:sz w:val="22"/>
        </w:rPr>
        <w:t>means the board of trustees, the owner, or person(s) designated by the owner as the governing authority. The governing board has supreme authority in the hospital and is responsible for the management, control, and appointment of the medical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“general hospital” </w:t>
      </w:r>
      <w:r>
        <w:rPr>
          <w:rFonts w:ascii="Times New Roman" w:hAnsi="Times New Roman"/>
          <w:b w:val="false"/>
          <w:i w:val="false"/>
          <w:color w:val="000000"/>
          <w:sz w:val="22"/>
        </w:rPr>
        <w:t xml:space="preserve">means an institution, place, building, or agency represented and held out to the general public as ready, willing and able to furnish care, accommodations, facilities and equipment for the diagnosis or treatment, over a period exceeding 24 hours, of two or more nonrelated individuals suffering from illness, injury, infirmity or deformity, or other physical or mental condition for which medical, surgical and obstetrical care services are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acute care hospital” </w:t>
      </w:r>
      <w:r>
        <w:rPr>
          <w:rFonts w:ascii="Times New Roman" w:hAnsi="Times New Roman"/>
          <w:b w:val="false"/>
          <w:i w:val="false"/>
          <w:color w:val="000000"/>
          <w:sz w:val="22"/>
        </w:rPr>
        <w:t xml:space="preserve">means any hospital that has an average inpatient length of stay greater than 25 days and that provides extended medical and rehabilitative care for patients who are clinically complex and who may suffer from multiple acute or chronic conditions. Services provided by a long-term acute care hospital include but are not limited to comprehensive rehabilitation, respiratory therapy, head trauma treatment, and pain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staff” </w:t>
      </w:r>
      <w:r>
        <w:rPr>
          <w:rFonts w:ascii="Times New Roman" w:hAnsi="Times New Roman"/>
          <w:b w:val="false"/>
          <w:i w:val="false"/>
          <w:color w:val="000000"/>
          <w:sz w:val="22"/>
        </w:rPr>
        <w:t>means an organized body that is composed of individuals appointed by the hospital governing board, that operates under bylaws approved by the governing board and that is responsible for the quality of medical care provided to patients by the hospital. All members of the medical staff, one of whom shall be a licensed physician, shall be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 xml:space="preserve">means any or all designated portions of a building or structure, enclosures or places in the building, or real estate when the distinct and clearly identifiable parts provide separate care and services. “Premises” is not to be construed to permit the existence of a separately licensed specialty hospital within the physical structure of a general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emergency hospital” </w:t>
      </w:r>
      <w:r>
        <w:rPr>
          <w:rFonts w:ascii="Times New Roman" w:hAnsi="Times New Roman"/>
          <w:b w:val="false"/>
          <w:i w:val="false"/>
          <w:color w:val="000000"/>
          <w:sz w:val="22"/>
        </w:rPr>
        <w:t xml:space="preserve">means the same as defined by Iowa Code section </w:t>
      </w:r>
      <w:hyperlink r:id="rId6">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“Specialized hospital” </w:t>
      </w:r>
      <w:r>
        <w:rPr>
          <w:rFonts w:ascii="Times New Roman" w:hAnsi="Times New Roman"/>
          <w:b w:val="false"/>
          <w:i w:val="false"/>
          <w:color w:val="000000"/>
          <w:sz w:val="22"/>
        </w:rPr>
        <w:t>means any hospital devoted primarily to the specialized care and treatment of persons with chronic or long-term illness, injury, or infirmity. “Specialized hospital” does not include a specialty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hospital” </w:t>
      </w:r>
      <w:r>
        <w:rPr>
          <w:rFonts w:ascii="Times New Roman" w:hAnsi="Times New Roman"/>
          <w:b w:val="false"/>
          <w:i w:val="false"/>
          <w:color w:val="000000"/>
          <w:sz w:val="22"/>
        </w:rPr>
        <w:t>means the same as defined by 42 CFR Section 411.351 as amended to November 7,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w:t>
      </w:r>
      <w:r>
        <w:rPr>
          <w:rFonts w:ascii="Times New Roman" w:hAnsi="Times New Roman"/>
          <w:b/>
          <w:i w:val="false"/>
          <w:color w:val="000000"/>
          <w:sz w:val="22"/>
        </w:rPr>
        <w:t xml:space="preserve">(135B) </w:t>
      </w:r>
      <w:r>
        <w:rPr>
          <w:rFonts w:ascii="Times New Roman" w:hAnsi="Times New Roman"/>
          <w:b/>
          <w:i w:val="false"/>
          <w:color w:val="000000"/>
          <w:sz w:val="22"/>
        </w:rPr>
        <w:t xml:space="preserve">Classification, compliance and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All hospitals subject to licensure under this chapter will be classified as a critical access hospital, general hospital, long-term acute care hospital, rural emergency hospital, or specialized hospital. The license issued by the department will clearly identify the classification of the hospital, and such designation will be set forth on the hospital’s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A hospital shall comply with all of the general regulations for hospitals and any rules pertaining to specialized services, if specialized services are provided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hospital even though more than one is operated under the same management. A separate license is not required for separate buildings of a hospital located on separate parcels of land, which are not adjoining but provide elements of the hospital’s full range of services for the diagnosis, care, and treatment of human illness, including convalescence and rehabilitation, and which are organized under a single owner or governing board with a single designated administrator and medical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w:t>
      </w:r>
      <w:r>
        <w:rPr>
          <w:rFonts w:ascii="Times New Roman" w:hAnsi="Times New Roman"/>
          <w:b w:val="false"/>
          <w:i w:val="false"/>
          <w:color w:val="000000"/>
          <w:sz w:val="22"/>
        </w:rPr>
        <w:t> </w:t>
      </w:r>
      <w:r>
        <w:rPr>
          <w:rFonts w:ascii="Times New Roman" w:hAnsi="Times New Roman"/>
          <w:b w:val="false"/>
          <w:i w:val="false"/>
          <w:color w:val="000000"/>
          <w:sz w:val="22"/>
        </w:rPr>
        <w:t>The license shall be conspicuously posted on the main premises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recognize, in lieu of its own licensure inspection, the comparable inspections and findings of an accrediting organization approved by the Centers for Medicare and Medicaid Services (CMS) for federal certification if the department is provided with copies of all requested materials relating to the inspection process. In cases of the initial licensure, the department may require its own inspection when needed in addition to comparable accreditations to allow the hospital to begin operations. The department may also initiate its own inspection when it is determined that the inspection findings of the accrediting organization are insufficient to address concerns identified as possible licensure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w:t>
      </w:r>
      <w:r>
        <w:rPr>
          <w:rFonts w:ascii="Times New Roman" w:hAnsi="Times New Roman"/>
          <w:b w:val="false"/>
          <w:i w:val="false"/>
          <w:color w:val="000000"/>
          <w:sz w:val="22"/>
        </w:rPr>
        <w:t> </w:t>
      </w:r>
      <w:r>
        <w:rPr>
          <w:rFonts w:ascii="Times New Roman" w:hAnsi="Times New Roman"/>
          <w:b w:val="false"/>
          <w:i w:val="false"/>
          <w:color w:val="000000"/>
          <w:sz w:val="22"/>
        </w:rPr>
        <w:t>The department may recognize, in lieu of its own licensure inspection, the comparable inspection and inspection findings of a Medicare conditions of participation survey of a hospital certified by CMS. Hospitals that are not federally certified will be inspected utilizing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481—51.3</w:t>
      </w:r>
      <w:r>
        <w:rPr>
          <w:rFonts w:ascii="Times New Roman" w:hAnsi="Times New Roman"/>
          <w:b/>
          <w:i w:val="false"/>
          <w:color w:val="000000"/>
          <w:sz w:val="22"/>
        </w:rPr>
        <w:t xml:space="preserve">(135B) </w:t>
      </w:r>
      <w:r>
        <w:rPr>
          <w:rFonts w:ascii="Times New Roman" w:hAnsi="Times New Roman"/>
          <w:b/>
          <w:i w:val="false"/>
          <w:color w:val="000000"/>
          <w:sz w:val="22"/>
        </w:rPr>
        <w:t xml:space="preserve">Quality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There shall be an ongoing hospitalwide quality improvement program. This program is to be designed to improve, as needed, the quality of patient care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Assessing clinical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Assessing nonclinical and patient-related services within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Developing remedial action as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monitoring and evaluating of the progress of remedial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there is an effective hospitalwide patient-oriented quality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program shall involve active participation of physician members of the hospital’s medical staff and other health care professionals, as appropriate. Evidence of this participation will include ongoing case review and assessment of other patient care problems, which have been identified through the quality improvement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may include external, state, local, federal, and regional benchmarking activities designed to improve the quality of patient care. The quality improvement plan shall be written and may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objectives, organization, scope, and mechanisms for overseeing the effectiveness of monitoring, evaluation, and problem-solving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participation from all departments, services (including services provided both directly and under contract), and disciplines;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assessment of participation through a quality improvement committee meeting on an established periodic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coordination of quality improvement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communication, reporting and documentation of all quality improvement activities on a regular basis to the governing board, the medical staff, and the hospital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annual evaluation by the governing board of the effectiveness of the quality improvement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accessibility and confidentiality of materials relating to, generated by or part of the quality improvement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481—51.4</w:t>
      </w:r>
      <w:r>
        <w:rPr>
          <w:rFonts w:ascii="Times New Roman" w:hAnsi="Times New Roman"/>
          <w:b/>
          <w:i w:val="false"/>
          <w:color w:val="000000"/>
          <w:sz w:val="22"/>
        </w:rPr>
        <w:t xml:space="preserve">(135B) </w:t>
      </w:r>
      <w:r>
        <w:rPr>
          <w:rFonts w:ascii="Times New Roman" w:hAnsi="Times New Roman"/>
          <w:b/>
          <w:i w:val="false"/>
          <w:color w:val="000000"/>
          <w:sz w:val="22"/>
        </w:rPr>
        <w:t xml:space="preserve">Long-term acute care hospital located within a general hospital.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A long-term acute care hospital shall meet the requirements for a general hospital, including emergency services, except that obstetrical facilities are not required, and, if the long-term acute care hospital is located within a separately licensed hospital and does not provide its own emergency services, the long-term acute care hospital shall contract for emergency services with the host general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If a long-term acute care hospital occupies the same premises of a general hospital, all treatment facilities and administrative offices for each hospital shall be clearly marked and separated from each other and located within the licensed premises of each licensee. Treatment facilities shall be sufficient to meet the medical needs of the patients. Administrative offices include, but are not limited to, record rooms and personnel offices. Nothing prohibits a long-term acute care hospital that is occupying the same premises as a general hospital from utilizing the entrance, hallway, stairs, elevators or escalators of the general hospital to provide access to the long-term acute care hospital’s separate entrance, but there should be clearly identifiable and distinguishable signs for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A long-term acute care hospital located within a general hospital shall have sufficient staff to meet the patients’ needs. No nursing services staff can be simultaneously assigned patient duties in both licensed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val="false"/>
          <w:color w:val="000000"/>
          <w:sz w:val="22"/>
        </w:rPr>
        <w:t>Each long-term acute care hospital located within a general hospital and the general hospital shall have a separate and distinct governing board in control of the respective hospital. No more than one board member shall serve in a common capacity on the governing board of each licensed hospital. For the purposes of this rule, control exists if an individual or an organization has the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val="false"/>
          <w:color w:val="000000"/>
          <w:sz w:val="22"/>
        </w:rPr>
        <w:t>A long-term acute care hospital located within a general hospital may contract with the host general hospital for the provision of services. All contracts shall clearly delineate the responsibilities of and services provided by the long-term acute care hospital and the general hospital and be executed by the respective governing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481—51.5</w:t>
      </w:r>
      <w:r>
        <w:rPr>
          <w:rFonts w:ascii="Times New Roman" w:hAnsi="Times New Roman"/>
          <w:b/>
          <w:i w:val="false"/>
          <w:color w:val="000000"/>
          <w:sz w:val="22"/>
        </w:rPr>
        <w:t xml:space="preserve">(135B) </w:t>
      </w:r>
      <w:r>
        <w:rPr>
          <w:rFonts w:ascii="Times New Roman" w:hAnsi="Times New Roman"/>
          <w:b/>
          <w:i w:val="false"/>
          <w:color w:val="000000"/>
          <w:sz w:val="22"/>
        </w:rPr>
        <w:t xml:space="preserve">Medical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A roster of medical staff members shall be kept.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All hospitals shall have one or more licensed physicians designated for emergency call service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shall not deny clinical privileges as set forth in Iowa Code section </w:t>
      </w:r>
      <w:hyperlink r:id="rId7">
        <w:r>
          <w:rPr>
            <w:rStyle w:val="Hyperlink"/>
            <w:rFonts w:ascii="Times New Roman" w:hAnsi="Times New Roman"/>
            <w:b w:val="false"/>
            <w:i w:val="false"/>
            <w:color w:val="000000"/>
            <w:sz w:val="22"/>
          </w:rPr>
          <w:t>135B.7(2)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A hospital shall establish and implement written criteria for the granting of clinical privileges that include but are not limited to consideration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Ability of the applicant to provide patient care services independently or appropriately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held by the applicant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experience, and competence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Relationship between the applicant’s request for privileges and the hospital’s current scope of patient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ability to provide comprehensive, appropriate and cost-effective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481—51.6</w:t>
      </w:r>
      <w:r>
        <w:rPr>
          <w:rFonts w:ascii="Times New Roman" w:hAnsi="Times New Roman"/>
          <w:b/>
          <w:i w:val="false"/>
          <w:color w:val="000000"/>
          <w:sz w:val="22"/>
        </w:rPr>
        <w:t xml:space="preserve">(135B) </w:t>
      </w:r>
      <w:r>
        <w:rPr>
          <w:rFonts w:ascii="Times New Roman" w:hAnsi="Times New Roman"/>
          <w:b/>
          <w:i w:val="false"/>
          <w:color w:val="000000"/>
          <w:sz w:val="22"/>
        </w:rPr>
        <w:t xml:space="preserve">Patient rights and responsibilities. </w:t>
      </w:r>
      <w:r>
        <w:rPr>
          <w:rFonts w:ascii="Times New Roman" w:hAnsi="Times New Roman"/>
          <w:b w:val="false"/>
          <w:i w:val="false"/>
          <w:color w:val="000000"/>
          <w:sz w:val="22"/>
        </w:rPr>
        <w:t>The hospital governing board shall adopt a statement of principles relating to patient rights and responsibilities that is made available to patients of the hospital and addresses,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Access to treatment regardless of age, race, creed, ethnicity, religion, culture, language, physical or mental disability, socioeconomic status, sex, sexual orientation, gender identity or expression, diagnosis, or source of payment for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Preservation of individual dignity and protection of personal privacy in receipt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Confidentiality of medical and other appropriate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val="false"/>
          <w:color w:val="000000"/>
          <w:sz w:val="22"/>
        </w:rPr>
        <w:t>Assurance of reasonable safety within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val="false"/>
          <w:color w:val="000000"/>
          <w:sz w:val="22"/>
        </w:rPr>
        <w:t>Knowledge of the identity of the physician or other practitioner primarily responsible for the patient’s care as well as identity and professional status of others providing services to the patient while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51.6(6)</w:t>
      </w:r>
      <w:r>
        <w:rPr>
          <w:rFonts w:ascii="Times New Roman" w:hAnsi="Times New Roman"/>
          <w:b w:val="false"/>
          <w:i w:val="false"/>
          <w:color w:val="000000"/>
          <w:sz w:val="22"/>
        </w:rPr>
        <w:t> </w:t>
      </w:r>
      <w:r>
        <w:rPr>
          <w:rFonts w:ascii="Times New Roman" w:hAnsi="Times New Roman"/>
          <w:b w:val="false"/>
          <w:i w:val="false"/>
          <w:color w:val="000000"/>
          <w:sz w:val="22"/>
        </w:rPr>
        <w:t>Nature of patient’s right to information regarding the patient’s medical condition unless medically contraindicated, to consult with a specialist at the patient’s request and expense, and to refuse treatment to the extent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51.6(7)</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and explanation of patient 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51.6(8)</w:t>
      </w:r>
      <w:r>
        <w:rPr>
          <w:rFonts w:ascii="Times New Roman" w:hAnsi="Times New Roman"/>
          <w:b w:val="false"/>
          <w:i w:val="false"/>
          <w:color w:val="000000"/>
          <w:sz w:val="22"/>
        </w:rPr>
        <w:t> </w:t>
      </w:r>
      <w:r>
        <w:rPr>
          <w:rFonts w:ascii="Times New Roman" w:hAnsi="Times New Roman"/>
          <w:b w:val="false"/>
          <w:i w:val="false"/>
          <w:color w:val="000000"/>
          <w:sz w:val="22"/>
        </w:rPr>
        <w:t>Process for patient pursuit of grievances;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51.6(9)</w:t>
      </w:r>
      <w:r>
        <w:rPr>
          <w:rFonts w:ascii="Times New Roman" w:hAnsi="Times New Roman"/>
          <w:b w:val="false"/>
          <w:i w:val="false"/>
          <w:color w:val="000000"/>
          <w:sz w:val="22"/>
        </w:rPr>
        <w:t> </w:t>
      </w:r>
      <w:r>
        <w:rPr>
          <w:rFonts w:ascii="Times New Roman" w:hAnsi="Times New Roman"/>
          <w:b w:val="false"/>
          <w:i w:val="false"/>
          <w:color w:val="000000"/>
          <w:sz w:val="22"/>
        </w:rPr>
        <w:t>Patient responsibilities, including to provide accurate and complete information regarding the patient’s health status; to follow recommended treatment plans; to abide by hospital rules and regulations affecting patient care and conduct and be considerate of the rights of other patients and hospital personnel; and to fulfill the patient’s financial obligations as soon as possible following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481—51.7</w:t>
      </w:r>
      <w:r>
        <w:rPr>
          <w:rFonts w:ascii="Times New Roman" w:hAnsi="Times New Roman"/>
          <w:b/>
          <w:i w:val="false"/>
          <w:color w:val="000000"/>
          <w:sz w:val="22"/>
        </w:rPr>
        <w:t xml:space="preserve">(135B) </w:t>
      </w:r>
      <w:r>
        <w:rPr>
          <w:rFonts w:ascii="Times New Roman" w:hAnsi="Times New Roman"/>
          <w:b/>
          <w:i w:val="false"/>
          <w:color w:val="000000"/>
          <w:sz w:val="22"/>
        </w:rPr>
        <w:t xml:space="preserve">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 xml:space="preserve">means the willful infliction of injury, unreasonable confinement, intimidation, or punishment, with resulting physical harm, pain or mental anguish. Neglect is a form of abuse and is defined as the failure to provide goods and services necessary to avoid physical harm, mental anguish, or mental illness.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235E.1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abuse”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 abuse”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235F.1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or household members”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color w:val="000000"/>
          <w:sz w:val="22"/>
        </w:rPr>
        <w:t xml:space="preserve">Abuse prohibited. </w:t>
      </w:r>
      <w:r>
        <w:rPr>
          <w:rFonts w:ascii="Times New Roman" w:hAnsi="Times New Roman"/>
          <w:b w:val="false"/>
          <w:i w:val="false"/>
          <w:color w:val="000000"/>
          <w:sz w:val="22"/>
        </w:rPr>
        <w:t>Each patient shall receive kind and considerate care at all times and shall be free from all forms of abuse or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Restraints shall be applied only when they are necessary to prevent injury to the patient or to others and shall be used only when alternative measures are not sufficient to accomplish their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must be a written order signed by the attending physician approving the use of restraints either at the time they are applied or as soon thereafter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Careful consideration shall be given to the methods by which the restraints can be speedily removed in case of fire or 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51.7(3)</w:t>
      </w:r>
      <w:r>
        <w:rPr>
          <w:rFonts w:ascii="Times New Roman" w:hAnsi="Times New Roman"/>
          <w:b w:val="false"/>
          <w:i w:val="false"/>
          <w:color w:val="000000"/>
          <w:sz w:val="22"/>
        </w:rPr>
        <w:t> </w:t>
      </w:r>
      <w:r>
        <w:rPr>
          <w:rFonts w:ascii="Times New Roman" w:hAnsi="Times New Roman"/>
          <w:b w:val="false"/>
          <w:i/>
          <w:color w:val="000000"/>
          <w:sz w:val="22"/>
        </w:rPr>
        <w:t xml:space="preserve">Hospital response to elder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hospital shall establish and implement policies and procedures with respect to victims of elder abuse that, at a minimum,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interview with the victim in a place that ensures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Confidentiality of the person’s treatment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 of appropriate emergency department staff to assist in the identification of victims of elder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records of victims of elder abuse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assessment of the extent of abuse to the victim specifically describing the location and extent of the injury and reported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the treatment and intervention by health care provider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the need for follow-up care and specification of the follow-up care to be given (e.g., X-rays, surgery, consultation, similar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victim’s statement of how the injury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51.7(4)</w:t>
      </w:r>
      <w:r>
        <w:rPr>
          <w:rFonts w:ascii="Times New Roman" w:hAnsi="Times New Roman"/>
          <w:b w:val="false"/>
          <w:i w:val="false"/>
          <w:color w:val="000000"/>
          <w:sz w:val="22"/>
        </w:rPr>
        <w:t> </w:t>
      </w:r>
      <w:r>
        <w:rPr>
          <w:rFonts w:ascii="Times New Roman" w:hAnsi="Times New Roman"/>
          <w:b w:val="false"/>
          <w:i/>
          <w:color w:val="000000"/>
          <w:sz w:val="22"/>
        </w:rPr>
        <w:t xml:space="preserve">Hospital response to domestic abuse. </w:t>
      </w:r>
      <w:r>
        <w:rPr>
          <w:rFonts w:ascii="Times New Roman" w:hAnsi="Times New Roman"/>
          <w:b w:val="false"/>
          <w:i w:val="false"/>
          <w:color w:val="000000"/>
          <w:sz w:val="22"/>
        </w:rPr>
        <w:t xml:space="preserve">Each hospital shall establish and implement policies and procedures with respect to victims of domestic abuse that, at a minimum, meet the requirements of paragraph </w:t>
      </w:r>
      <w:hyperlink r:id="rId14">
        <w:r>
          <w:rPr>
            <w:rStyle w:val="Hyperlink"/>
            <w:rFonts w:ascii="Times New Roman" w:hAnsi="Times New Roman"/>
            <w:b w:val="false"/>
            <w:i w:val="false"/>
            <w:color w:val="000000"/>
            <w:sz w:val="22"/>
          </w:rPr>
          <w:t>51.7(3)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also provide for sharing information regarding the domestic abuse hotline and programs. The treatment records of victims of domestic abuse shall meet the requirements of paragraph </w:t>
      </w:r>
      <w:hyperlink r:id="rId15">
        <w:r>
          <w:rPr>
            <w:rStyle w:val="Hyperlink"/>
            <w:rFonts w:ascii="Times New Roman" w:hAnsi="Times New Roman"/>
            <w:b w:val="false"/>
            <w:i w:val="false"/>
            <w:color w:val="000000"/>
            <w:sz w:val="22"/>
          </w:rPr>
          <w:t>51.7(3)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also include evidence that the victim was informed of the telephone numbers for the domestic abuse hotline and domestic abuse programs and the victim’s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51.7(5)</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reporting of child abuse and dependent adult abuse. </w:t>
      </w:r>
      <w:r>
        <w:rPr>
          <w:rFonts w:ascii="Times New Roman" w:hAnsi="Times New Roman"/>
          <w:b w:val="false"/>
          <w:i w:val="false"/>
          <w:color w:val="000000"/>
          <w:sz w:val="22"/>
        </w:rPr>
        <w:t>Each hospital shall establish and implement policies and procedures with respect to the mandatory reporting of abuse pursuant to the Iowa Code. The treatment records of victims of child abuse or dependent adult abuse shall indicate that the department of health and human services’ protective services was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481—51.8</w:t>
      </w:r>
      <w:r>
        <w:rPr>
          <w:rFonts w:ascii="Times New Roman" w:hAnsi="Times New Roman"/>
          <w:b/>
          <w:i w:val="false"/>
          <w:color w:val="000000"/>
          <w:sz w:val="22"/>
        </w:rPr>
        <w:t xml:space="preserve">(135B) </w:t>
      </w:r>
      <w:r>
        <w:rPr>
          <w:rFonts w:ascii="Times New Roman" w:hAnsi="Times New Roman"/>
          <w:b/>
          <w:i w:val="false"/>
          <w:color w:val="000000"/>
          <w:sz w:val="22"/>
        </w:rPr>
        <w:t xml:space="preserve">Organ, tissue and eye procurement. </w:t>
      </w:r>
      <w:r>
        <w:rPr>
          <w:rFonts w:ascii="Times New Roman" w:hAnsi="Times New Roman"/>
          <w:b w:val="false"/>
          <w:i w:val="false"/>
          <w:color w:val="000000"/>
          <w:sz w:val="22"/>
        </w:rPr>
        <w:t xml:space="preserve">Each hospital shall have written policies and protocols for organ, tissue and eye donation consistent with Iowa Code chapter </w:t>
      </w:r>
      <w:hyperlink r:id="rId16">
        <w:r>
          <w:rPr>
            <w:rStyle w:val="Hyperlink"/>
            <w:rFonts w:ascii="Times New Roman" w:hAnsi="Times New Roman"/>
            <w:b w:val="false"/>
            <w:i w:val="false"/>
            <w:color w:val="000000"/>
            <w:sz w:val="22"/>
          </w:rPr>
          <w:t>142C</w:t>
        </w:r>
      </w:hyperlink>
      <w:r>
        <w:rPr>
          <w:rFonts w:ascii="Times New Roman" w:hAnsi="Times New Roman"/>
          <w:b w:val="false"/>
          <w:i w:val="false"/>
          <w:color w:val="000000"/>
          <w:sz w:val="22"/>
        </w:rPr>
        <w:t xml:space="preserve"> and 42 CFR 482.45 as amended to November 7, 2023, or 42 CFR 485.643 as amended to November 7,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481—51.9</w:t>
      </w:r>
      <w:r>
        <w:rPr>
          <w:rFonts w:ascii="Times New Roman" w:hAnsi="Times New Roman"/>
          <w:b/>
          <w:i w:val="false"/>
          <w:color w:val="000000"/>
          <w:sz w:val="22"/>
        </w:rPr>
        <w:t xml:space="preserve">(135B) </w:t>
      </w:r>
      <w:r>
        <w:rPr>
          <w:rFonts w:ascii="Times New Roman" w:hAnsi="Times New Roman"/>
          <w:b/>
          <w:i w:val="false"/>
          <w:color w:val="000000"/>
          <w:sz w:val="22"/>
        </w:rPr>
        <w:t xml:space="preserve">Nursing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The hospital shall have an organized nursing service that provides complete and efficient nursing care to each patient. The authority, responsibility and function of each nurse shall be clearly defined.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Registered nurses shall utilize the nursing process in the practice of nursing, consistent with accepted and prevailing practice. The nursing process is ongoing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assessments about the health status of an individual or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Formulation of a nursing diagnosis based on analysis of the data from the nursing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Planning of nursing care, which includes determining goals and priorities for actions that are based on the nursing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interventions implementing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Evaluation of the individual’s or group’s status in relation to established goals and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nurse(s) may participate in the nursing process as described in </w:t>
      </w:r>
      <w:hyperlink r:id="rId17">
        <w:r>
          <w:rPr>
            <w:rStyle w:val="Hyperlink"/>
            <w:rFonts w:ascii="Times New Roman" w:hAnsi="Times New Roman"/>
            <w:b w:val="false"/>
            <w:i w:val="false"/>
            <w:color w:val="000000"/>
            <w:sz w:val="22"/>
          </w:rPr>
          <w:t>subrule 51.9(2)</w:t>
        </w:r>
      </w:hyperlink>
      <w:r>
        <w:rPr>
          <w:rFonts w:ascii="Times New Roman" w:hAnsi="Times New Roman"/>
          <w:b w:val="false"/>
          <w:i w:val="false"/>
          <w:color w:val="000000"/>
          <w:sz w:val="22"/>
        </w:rPr>
        <w:t xml:space="preserve"> consistent with accepted practice by assisting the registered nurse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val="false"/>
          <w:color w:val="000000"/>
          <w:sz w:val="22"/>
        </w:rPr>
        <w:t xml:space="preserve">All nurses employed in a hospital who practice nursing as a registered nurse or licensed practical nurse shall hold an active Iowa license or hold an active license in another state and be recognized for licensure in this state pursuant to the nurse licensure compact in Iowa Code section </w:t>
      </w:r>
      <w:hyperlink r:id="rId18">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 director of nursing service with administrative and executive competency who holds an active Iowa license or holds an active license in another state and is recognized for licensure in this state pursuant to the nurse licensure compact in Iowa Code section </w:t>
      </w:r>
      <w:hyperlink r:id="rId19">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51.9(6)</w:t>
      </w:r>
      <w:r>
        <w:rPr>
          <w:rFonts w:ascii="Times New Roman" w:hAnsi="Times New Roman"/>
          <w:b w:val="false"/>
          <w:i w:val="false"/>
          <w:color w:val="000000"/>
          <w:sz w:val="22"/>
        </w:rPr>
        <w:t> </w:t>
      </w:r>
      <w:r>
        <w:rPr>
          <w:rFonts w:ascii="Times New Roman" w:hAnsi="Times New Roman"/>
          <w:b w:val="false"/>
          <w:i w:val="false"/>
          <w:color w:val="000000"/>
          <w:sz w:val="22"/>
        </w:rPr>
        <w:t>Nursing management shall have had preparation courses and experience in accordance with hospital policy commensurate with the responsibility of the specific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51.9(7)</w:t>
      </w:r>
      <w:r>
        <w:rPr>
          <w:rFonts w:ascii="Times New Roman" w:hAnsi="Times New Roman"/>
          <w:b w:val="false"/>
          <w:i w:val="false"/>
          <w:color w:val="000000"/>
          <w:sz w:val="22"/>
        </w:rPr>
        <w:t> </w:t>
      </w:r>
      <w:r>
        <w:rPr>
          <w:rFonts w:ascii="Times New Roman" w:hAnsi="Times New Roman"/>
          <w:b w:val="false"/>
          <w:i w:val="false"/>
          <w:color w:val="000000"/>
          <w:sz w:val="22"/>
        </w:rPr>
        <w:t>All unlicensed personnel performing patient-care service shall be under the supervision of a registered nurse, have duties defined in writing by the hospital, and be instructed in all duties assigned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51.9(8)</w:t>
      </w:r>
      <w:r>
        <w:rPr>
          <w:rFonts w:ascii="Times New Roman" w:hAnsi="Times New Roman"/>
          <w:b w:val="false"/>
          <w:i w:val="false"/>
          <w:color w:val="000000"/>
          <w:sz w:val="22"/>
        </w:rPr>
        <w:t> </w:t>
      </w:r>
      <w:r>
        <w:rPr>
          <w:rFonts w:ascii="Times New Roman" w:hAnsi="Times New Roman"/>
          <w:b w:val="false"/>
          <w:i w:val="false"/>
          <w:color w:val="000000"/>
          <w:sz w:val="22"/>
        </w:rPr>
        <w:t>The nursing service shall have adequate numbers of licensed registered nurses, licensed practical nurses, and other personnel to provide nursing care essential for the proper treatment, well-being, and recovery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51.9(9)</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shall be established for the administrative and technical guidance of the personnel in the hospital. Each employee shall be familiar with these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51.9(10)</w:t>
      </w:r>
      <w:r>
        <w:rPr>
          <w:rFonts w:ascii="Times New Roman" w:hAnsi="Times New Roman"/>
          <w:b w:val="false"/>
          <w:i w:val="false"/>
          <w:color w:val="000000"/>
          <w:sz w:val="22"/>
        </w:rPr>
        <w:t> </w:t>
      </w:r>
      <w:r>
        <w:rPr>
          <w:rFonts w:ascii="Times New Roman" w:hAnsi="Times New Roman"/>
          <w:b w:val="false"/>
          <w:i w:val="false"/>
          <w:color w:val="000000"/>
          <w:sz w:val="22"/>
        </w:rPr>
        <w:t>Each hospital shall have a minimum of one registered nurse on duty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481—51.10</w:t>
      </w:r>
      <w:r>
        <w:rPr>
          <w:rFonts w:ascii="Times New Roman" w:hAnsi="Times New Roman"/>
          <w:b/>
          <w:i w:val="false"/>
          <w:color w:val="000000"/>
          <w:sz w:val="22"/>
        </w:rPr>
        <w:t xml:space="preserve">(135B)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Accurate and complete medical records shall be maintained for all patients and signed by the appropriate provider. These records shall be filed and stored in an accessible manner and in accordance with the statute of limitations as specified in Iowa Code chapter </w:t>
      </w:r>
      <w:hyperlink r:id="rId20">
        <w:r>
          <w:rPr>
            <w:rStyle w:val="Hyperlink"/>
            <w:rFonts w:ascii="Times New Roman" w:hAnsi="Times New Roman"/>
            <w:b w:val="false"/>
            <w:i w:val="false"/>
            <w:color w:val="000000"/>
            <w:sz w:val="22"/>
          </w:rPr>
          <w:t>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color w:val="000000"/>
          <w:sz w:val="22"/>
        </w:rPr>
        <w:t xml:space="preserve">Hospital records. </w:t>
      </w:r>
      <w:r>
        <w:rPr>
          <w:rFonts w:ascii="Times New Roman" w:hAnsi="Times New Roman"/>
          <w:b w:val="false"/>
          <w:i w:val="false"/>
          <w:color w:val="000000"/>
          <w:sz w:val="22"/>
        </w:rPr>
        <w:t>A hospital shall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Admission records. </w:t>
      </w:r>
      <w:r>
        <w:rPr>
          <w:rFonts w:ascii="Times New Roman" w:hAnsi="Times New Roman"/>
          <w:b w:val="false"/>
          <w:i w:val="false"/>
          <w:color w:val="000000"/>
          <w:sz w:val="22"/>
        </w:rPr>
        <w:t>A register of all admissions to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records. </w:t>
      </w:r>
      <w:r>
        <w:rPr>
          <w:rFonts w:ascii="Times New Roman" w:hAnsi="Times New Roman"/>
          <w:b w:val="false"/>
          <w:i w:val="false"/>
          <w:color w:val="000000"/>
          <w:sz w:val="22"/>
        </w:rPr>
        <w:t xml:space="preserve">A record of all deaths in the hospital, including all information on a standard death certificate as specified in Iowa Code chapter </w:t>
      </w:r>
      <w:hyperlink r:id="rId2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Birth records. </w:t>
      </w:r>
      <w:r>
        <w:rPr>
          <w:rFonts w:ascii="Times New Roman" w:hAnsi="Times New Roman"/>
          <w:b w:val="false"/>
          <w:i w:val="false"/>
          <w:color w:val="000000"/>
          <w:sz w:val="22"/>
        </w:rPr>
        <w:t xml:space="preserve">A record of all births in the hospital, including all information on a standard birth certificate as specified in Iowa Code chapter </w:t>
      </w:r>
      <w:hyperlink r:id="rId2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records. </w:t>
      </w:r>
      <w:r>
        <w:rPr>
          <w:rFonts w:ascii="Times New Roman" w:hAnsi="Times New Roman"/>
          <w:b w:val="false"/>
          <w:i w:val="false"/>
          <w:color w:val="000000"/>
          <w:sz w:val="22"/>
        </w:rPr>
        <w:t>Controlled substance records in accordance with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23">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patients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hospital may provide a tutorial on how to use its particular electronic system or may designate an individual who will, when requested, access the system, respond to any questions or assist the authorized representative as needed in accessing electronic information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hospital shall provide a terminal where the authorized representative may access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hospital is unable to provide direct print capability to the authorized representative, the hospital shall make available a printout of any record or part of a record on request in a time frame that does not intentionally prevent or interfere with the department’s survey 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481—51.11</w:t>
      </w:r>
      <w:r>
        <w:rPr>
          <w:rFonts w:ascii="Times New Roman" w:hAnsi="Times New Roman"/>
          <w:b/>
          <w:i w:val="false"/>
          <w:color w:val="000000"/>
          <w:sz w:val="22"/>
        </w:rPr>
        <w:t xml:space="preserve">(135B) </w:t>
      </w:r>
      <w:r>
        <w:rPr>
          <w:rFonts w:ascii="Times New Roman" w:hAnsi="Times New Roman"/>
          <w:b/>
          <w:i w:val="false"/>
          <w:color w:val="000000"/>
          <w:sz w:val="22"/>
        </w:rPr>
        <w:t xml:space="preserve">Pharmaceutical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Hospital pharmaceutical services shall be licensed in accordance with Iowa board of pharmacy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w:t>
      </w: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w:t>
      </w:r>
      <w:r>
        <w:rPr>
          <w:rFonts w:ascii="Times New Roman" w:hAnsi="Times New Roman"/>
          <w:b w:val="false"/>
          <w:i w:val="false"/>
          <w:color w:val="000000"/>
          <w:sz w:val="22"/>
        </w:rPr>
        <w:t>All drugs and biologicals must be administered by, or under the supervision of, nursing or other trained personnel in accordance with hospital policies and procedures. The person assigned the responsibility of medication administration must complete the entire procedure by personally preparing the dose from a multiple-dose container or using a prepackaged unit dose, personally administering it to the patient, and observing the act of the medication being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w:t>
      </w:r>
      <w:r>
        <w:rPr>
          <w:rFonts w:ascii="Times New Roman" w:hAnsi="Times New Roman"/>
          <w:b w:val="false"/>
          <w:i w:val="false"/>
          <w:color w:val="000000"/>
          <w:sz w:val="22"/>
        </w:rPr>
        <w:t> </w:t>
      </w:r>
      <w:r>
        <w:rPr>
          <w:rFonts w:ascii="Times New Roman" w:hAnsi="Times New Roman"/>
          <w:b w:val="false"/>
          <w:i/>
          <w:color w:val="000000"/>
          <w:sz w:val="22"/>
        </w:rPr>
        <w:t xml:space="preserve">Standing orders. </w:t>
      </w:r>
      <w:r>
        <w:rPr>
          <w:rFonts w:ascii="Times New Roman" w:hAnsi="Times New Roman"/>
          <w:b w:val="false"/>
          <w:i w:val="false"/>
          <w:color w:val="000000"/>
          <w:sz w:val="22"/>
        </w:rPr>
        <w:t>Standing orders for drugs may be used for specified patients when authorized by the prescribing practitioner. These standing orders shall be in accordance with policies and procedures established by the appropriate committee within each hospital. At a minimum, the standing orders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clinical situations under which the drug is to be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Specify the types of medical conditions of the patients for whom the standing orders are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reviewed and revised by the hospital’s pharmacy and therapeutics or similar committee on a regular basis as specified by hospital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specific as to the drug, dosage, route, and frequency of administration;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dated, authorized by signature or other secure electronic method by the prescribing practitioner within a period not to exceed 30 days following a patient’s discharge, and included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w:t>
      </w:r>
      <w:r>
        <w:rPr>
          <w:rFonts w:ascii="Times New Roman" w:hAnsi="Times New Roman"/>
          <w:b w:val="false"/>
          <w:i w:val="false"/>
          <w:color w:val="000000"/>
          <w:sz w:val="22"/>
        </w:rPr>
        <w:t> </w:t>
      </w:r>
      <w:r>
        <w:rPr>
          <w:rFonts w:ascii="Times New Roman" w:hAnsi="Times New Roman"/>
          <w:b w:val="false"/>
          <w:i/>
          <w:color w:val="000000"/>
          <w:sz w:val="22"/>
        </w:rPr>
        <w:t xml:space="preserve">Self-administration of medications. </w:t>
      </w:r>
      <w:r>
        <w:rPr>
          <w:rFonts w:ascii="Times New Roman" w:hAnsi="Times New Roman"/>
          <w:b w:val="false"/>
          <w:i w:val="false"/>
          <w:color w:val="000000"/>
          <w:sz w:val="22"/>
        </w:rPr>
        <w:t>Patients shall only be permitted to self-administer medications when specifically ordered by the prescribing practitioner and the prescribing practitioner has determined this practice is safe for the specific patient. The hospital shall develop policies and procedures regarding storage and documentation of the administration of drugs.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481—51.12</w:t>
      </w:r>
      <w:r>
        <w:rPr>
          <w:rFonts w:ascii="Times New Roman" w:hAnsi="Times New Roman"/>
          <w:b/>
          <w:i w:val="false"/>
          <w:color w:val="000000"/>
          <w:sz w:val="22"/>
        </w:rPr>
        <w:t xml:space="preserve">(135B) </w:t>
      </w:r>
      <w:r>
        <w:rPr>
          <w:rFonts w:ascii="Times New Roman" w:hAnsi="Times New Roman"/>
          <w:b/>
          <w:i w:val="false"/>
          <w:color w:val="000000"/>
          <w:sz w:val="22"/>
        </w:rPr>
        <w:t xml:space="preserve">Verbal orders. </w:t>
      </w:r>
      <w:r>
        <w:rPr>
          <w:rFonts w:ascii="Times New Roman" w:hAnsi="Times New Roman"/>
          <w:b w:val="false"/>
          <w:i w:val="false"/>
          <w:color w:val="000000"/>
          <w:sz w:val="22"/>
        </w:rPr>
        <w:t>All verbal orders must be authenticated by the prescribing or ordering practitioner within a period not to exceed 30 days following a patient’s discharge. When verbal or electronic mechanisms are used to transmit orders, the orders must be accepted only by personnel who are authorized to do so by hospital policies and procedures in a manner consistent with federal and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481—51.13</w:t>
      </w:r>
      <w:r>
        <w:rPr>
          <w:rFonts w:ascii="Times New Roman" w:hAnsi="Times New Roman"/>
          <w:b/>
          <w:i w:val="false"/>
          <w:color w:val="000000"/>
          <w:sz w:val="22"/>
        </w:rPr>
        <w:t xml:space="preserve">(135B) </w:t>
      </w:r>
      <w:r>
        <w:rPr>
          <w:rFonts w:ascii="Times New Roman" w:hAnsi="Times New Roman"/>
          <w:b/>
          <w:i w:val="false"/>
          <w:color w:val="000000"/>
          <w:sz w:val="22"/>
        </w:rPr>
        <w:t xml:space="preserve">Radiological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val="false"/>
          <w:color w:val="000000"/>
          <w:sz w:val="22"/>
        </w:rPr>
        <w:t>The hospital must maintain, or have available, radiological services to meet the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radiological services shall be furnished in compliance with any applicable state law or state rules, including </w:t>
      </w:r>
      <w:hyperlink r:id="rId24">
        <w:r>
          <w:rPr>
            <w:rStyle w:val="Hyperlink"/>
            <w:rFonts w:ascii="Times New Roman" w:hAnsi="Times New Roman"/>
            <w:b w:val="false"/>
            <w:i w:val="false"/>
            <w:color w:val="000000"/>
            <w:sz w:val="22"/>
          </w:rPr>
          <w:t>641—Chapters 38 through 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481—51.14</w:t>
      </w:r>
      <w:r>
        <w:rPr>
          <w:rFonts w:ascii="Times New Roman" w:hAnsi="Times New Roman"/>
          <w:b/>
          <w:i w:val="false"/>
          <w:color w:val="000000"/>
          <w:sz w:val="22"/>
        </w:rPr>
        <w:t xml:space="preserve">(135B) </w:t>
      </w:r>
      <w:r>
        <w:rPr>
          <w:rFonts w:ascii="Times New Roman" w:hAnsi="Times New Roman"/>
          <w:b/>
          <w:i w:val="false"/>
          <w:color w:val="000000"/>
          <w:sz w:val="22"/>
        </w:rPr>
        <w:t xml:space="preserve">Laboratory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val="false"/>
          <w:color w:val="000000"/>
          <w:sz w:val="22"/>
        </w:rPr>
        <w:t>The hospital must maintain, or have available, adequate laboratory and pathology services and facilities to meet the needs of its patients. The medical staff determine which laboratory tests are necessary to be performed on site to meet the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val="false"/>
          <w:color w:val="000000"/>
          <w:sz w:val="22"/>
        </w:rPr>
        <w:t>Emergency laboratory services must be available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51.14(3)</w:t>
      </w:r>
      <w:r>
        <w:rPr>
          <w:rFonts w:ascii="Times New Roman" w:hAnsi="Times New Roman"/>
          <w:b w:val="false"/>
          <w:i w:val="false"/>
          <w:color w:val="000000"/>
          <w:sz w:val="22"/>
        </w:rPr>
        <w:t> </w:t>
      </w:r>
      <w:r>
        <w:rPr>
          <w:rFonts w:ascii="Times New Roman" w:hAnsi="Times New Roman"/>
          <w:b w:val="false"/>
          <w:i w:val="false"/>
          <w:color w:val="000000"/>
          <w:sz w:val="22"/>
        </w:rPr>
        <w:t>Laboratory services must be performed in a laboratory certified and operating in accordance with 42 CFR Part 493 as amended to November 7,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481—51.15</w:t>
      </w:r>
      <w:r>
        <w:rPr>
          <w:rFonts w:ascii="Times New Roman" w:hAnsi="Times New Roman"/>
          <w:b/>
          <w:i w:val="false"/>
          <w:color w:val="000000"/>
          <w:sz w:val="22"/>
        </w:rPr>
        <w:t xml:space="preserve">(135B) </w:t>
      </w:r>
      <w:r>
        <w:rPr>
          <w:rFonts w:ascii="Times New Roman" w:hAnsi="Times New Roman"/>
          <w:b/>
          <w:i w:val="false"/>
          <w:color w:val="000000"/>
          <w:sz w:val="22"/>
        </w:rPr>
        <w:t xml:space="preserve">Food and nutrition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color w:val="000000"/>
          <w:sz w:val="22"/>
        </w:rPr>
        <w:t xml:space="preserve">Food and nutrition service definitions. </w:t>
      </w:r>
      <w:r>
        <w:rPr>
          <w:rFonts w:ascii="Times New Roman" w:hAnsi="Times New Roman"/>
          <w:b w:val="false"/>
          <w:i w:val="false"/>
          <w:color w:val="000000"/>
          <w:sz w:val="22"/>
        </w:rPr>
        <w:t>“Food service” means providing safe, satisfying, and nutritionally adequate food for patients through the provision of appropriate staff, space, equipment, and supplies. “Nutrition service” means providing assessment and education to ensure that the nutritional needs of the patients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will be handled, prepared, served, and stored in accordance with the Food Code adopted under provisions of Iowa Code section </w:t>
      </w:r>
      <w:hyperlink r:id="rId25">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food and dietetic services shall be of a quality and quantity to meet the patient’s needs in accordance with any qualified health practitioner’s orders and meet the standards set forth in 42 CFR 482.28 as amended to November 7, 2023. Patient food preferences should be respected as much as possible, and substitutes offered through use of appropriate food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be developed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less than three meals will be served daily unless contraindicated, and not more than 14 hours will elapse between the evening meal and breakfast of the following day. Nourishment between meals will be available to all patients unless contraindicated by the qualified health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hospital will maintain adequate space, equipment, and staple food supplies to provide patient food service in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Menus for regular and therapeutic diets will be available and standardized recipes with nutritional analysis adjusted to number of portions will be maintained and used in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Food shall be prepared by methods that conserve nutritive value, flavor, and appearance. Food shall be served attractively at appropriate and safe temperatures and in a form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 screening will be conducted by qualified hospital staff to determine the patient’s need for a comprehensive nutrition assessment by the licensed dietitian. Nutritional care will be integrated in the patient care plan, as appropriate, based upon the patient’s diagnosis and length of stay. The licensed dietitian will record in the patient’s medical record any observations and information pertinent to medical nutrition therapy, and any pertinent dietary records will be included in the patient’s transfer discharge record to ensure continuity of nutritional care. Upon discharge, nutrition counseling and education will be provided to the patient and family as ordered by the qualified health care practitioner, requested by the patient or deemed appropriate by the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In-service training, in accordance with hospital policies, will be provided for all food and nutrition service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On the nursing units, a separate patient food storage area will be maintained that ensures proper temperature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color w:val="000000"/>
          <w:sz w:val="22"/>
        </w:rPr>
        <w:t xml:space="preserve">Food and nutrition service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dietitian will be employed on a full-time, part-time or consulting basis, with any part-time or consultant services provided on the premises at appropriate times on a regularly scheduled basis. These services shall be of sufficient duration and frequency to provide continuing liaison with medical and nursing staff, advice to the administrator, patient counseling, guidance to the supervisor and staff of the food and nutrition service, approval of all menus, and participation in the development or revision of departmental policies and procedures and in planning and conducting in-service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licensed dietitian is not employed full-time, then one must be employed on a part-time or consultation basis with an additional full-time person who has completed a certified dietary manager course and is employed to be responsible for the operation of the 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food service personnel will be employed, oriented, trained, and their working hours scheduled to provide for the nutritional needs of the patients and to maintain the food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color w:val="000000"/>
          <w:sz w:val="22"/>
        </w:rPr>
        <w:t xml:space="preserve">Food service equipment and supplies. </w:t>
      </w:r>
      <w:r>
        <w:rPr>
          <w:rFonts w:ascii="Times New Roman" w:hAnsi="Times New Roman"/>
          <w:b w:val="false"/>
          <w:i w:val="false"/>
          <w:color w:val="000000"/>
          <w:sz w:val="22"/>
        </w:rPr>
        <w:t>Equipment necessary for preparation and maintenance of menus, records, and references will be provided. At least one week’s supply of staple foods and a reasonable supply of perishable foods shall be maintained on the premises. Supplies will be appropriate to meet the requirements of the menu.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481—51.16</w:t>
      </w:r>
      <w:r>
        <w:rPr>
          <w:rFonts w:ascii="Times New Roman" w:hAnsi="Times New Roman"/>
          <w:b/>
          <w:i w:val="false"/>
          <w:color w:val="000000"/>
          <w:sz w:val="22"/>
        </w:rPr>
        <w:t xml:space="preserve">(135B) </w:t>
      </w:r>
      <w:r>
        <w:rPr>
          <w:rFonts w:ascii="Times New Roman" w:hAnsi="Times New Roman"/>
          <w:b/>
          <w:i w:val="false"/>
          <w:color w:val="000000"/>
          <w:sz w:val="22"/>
        </w:rPr>
        <w:t xml:space="preserve">Equipment for patient care. </w:t>
      </w:r>
      <w:r>
        <w:rPr>
          <w:rFonts w:ascii="Times New Roman" w:hAnsi="Times New Roman"/>
          <w:b w:val="false"/>
          <w:i w:val="false"/>
          <w:color w:val="000000"/>
          <w:sz w:val="22"/>
        </w:rPr>
        <w:t>Hospital equipment shall be selected, maintained and utilized in accordance with the manufacturer’s specifications and the needs of the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481—51.17</w:t>
      </w:r>
      <w:r>
        <w:rPr>
          <w:rFonts w:ascii="Times New Roman" w:hAnsi="Times New Roman"/>
          <w:b/>
          <w:i w:val="false"/>
          <w:color w:val="000000"/>
          <w:sz w:val="22"/>
        </w:rPr>
        <w:t xml:space="preserve">(135B) </w:t>
      </w:r>
      <w:r>
        <w:rPr>
          <w:rFonts w:ascii="Times New Roman" w:hAnsi="Times New Roman"/>
          <w:b/>
          <w:i w:val="false"/>
          <w:color w:val="000000"/>
          <w:sz w:val="22"/>
        </w:rPr>
        <w:t xml:space="preserve">Infection control. </w:t>
      </w:r>
      <w:r>
        <w:rPr>
          <w:rFonts w:ascii="Times New Roman" w:hAnsi="Times New Roman"/>
          <w:b w:val="false"/>
          <w:i w:val="false"/>
          <w:color w:val="000000"/>
          <w:sz w:val="22"/>
        </w:rPr>
        <w:t>There shall be proper policies and procedures for the prevention and control of communicable diseases, including compliance with the current rules for the control of communicable disease as provided by the Iowa department of health and human services and current Centers for Disease Control and Prevention (CDC) guidelines for isolation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color w:val="000000"/>
          <w:sz w:val="22"/>
        </w:rPr>
        <w:t xml:space="preserve">Segregation. </w:t>
      </w:r>
      <w:r>
        <w:rPr>
          <w:rFonts w:ascii="Times New Roman" w:hAnsi="Times New Roman"/>
          <w:b w:val="false"/>
          <w:i w:val="false"/>
          <w:color w:val="000000"/>
          <w:sz w:val="22"/>
        </w:rPr>
        <w:t>There shall be proper arrangement of areas, rooms and patients’ beds to provide for the prevention of cross-infections and the control of communicable diseases. There shall also be proper cleansing of rooms and surgeries immediately following the care of a communicable case and utilization of proper isolation techniques for patients and staff to prevent cross-infection.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The hospital shall establish proper policies and procedures for the control of visitors to all services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color w:val="000000"/>
          <w:sz w:val="22"/>
        </w:rPr>
        <w:t xml:space="preserve">Health assessments. </w:t>
      </w:r>
      <w:r>
        <w:rPr>
          <w:rFonts w:ascii="Times New Roman" w:hAnsi="Times New Roman"/>
          <w:b w:val="false"/>
          <w:i w:val="false"/>
          <w:color w:val="000000"/>
          <w:sz w:val="22"/>
        </w:rPr>
        <w:t>Health assessments for all contracted or employed personnel who provide direct services shall be required at the commencement of employment and thereafter at least every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services” means services provided through person-to-person contact. “Direct services” excludes services provided by individuals such as building contractors, repair workers, or others who are in the hospital for a very limited purpose, who are not in the hospital on a regular basis, and who do not provide any treatment or services for the patients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assessment may be performed by the person’s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assessment shall include, at a minimum, vital signs and an assessment for infectious or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26">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Prior to removal of a deceased resident/patient from a facility, the funeral director or person responsible for transporting the body shall be notified by the facility staff of any special precautions that were followed by the facility having to do with the mode of transmission of a known or suspected communicable disease.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481—51.18</w:t>
      </w:r>
      <w:r>
        <w:rPr>
          <w:rFonts w:ascii="Times New Roman" w:hAnsi="Times New Roman"/>
          <w:b/>
          <w:i w:val="false"/>
          <w:color w:val="000000"/>
          <w:sz w:val="22"/>
        </w:rPr>
        <w:t xml:space="preserve">(135B) </w:t>
      </w:r>
      <w:r>
        <w:rPr>
          <w:rFonts w:ascii="Times New Roman" w:hAnsi="Times New Roman"/>
          <w:b/>
          <w:i w:val="false"/>
          <w:color w:val="000000"/>
          <w:sz w:val="22"/>
        </w:rPr>
        <w:t xml:space="preserve">Surgical services. </w:t>
      </w:r>
      <w:r>
        <w:rPr>
          <w:rFonts w:ascii="Times New Roman" w:hAnsi="Times New Roman"/>
          <w:b w:val="false"/>
          <w:i w:val="false"/>
          <w:color w:val="000000"/>
          <w:sz w:val="22"/>
        </w:rPr>
        <w:t>All hospitals providing surgical services shall be properly organized and equipped to provide for the safe and aseptic treatment of surgical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governing surgical services shall be developed and implemented in consultation with the hospital’s medical staff and, at a minimum,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Surgical services under the direction of a qualified doctor of medicine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Delineation of the privileges and qualifications of individuals authorized to provide surgical services as set forth in the hospital’s medical staff bylaws and in accordance with subrule </w:t>
      </w:r>
      <w:hyperlink r:id="rId27">
        <w:r>
          <w:rPr>
            <w:rStyle w:val="Hyperlink"/>
            <w:rFonts w:ascii="Times New Roman" w:hAnsi="Times New Roman"/>
            <w:b w:val="false"/>
            <w:i w:val="false"/>
            <w:color w:val="000000"/>
            <w:sz w:val="22"/>
          </w:rPr>
          <w:t>51.5(4)</w:t>
        </w:r>
      </w:hyperlink>
      <w:r>
        <w:rPr>
          <w:rFonts w:ascii="Times New Roman" w:hAnsi="Times New Roman"/>
          <w:b w:val="false"/>
          <w:i w:val="false"/>
          <w:color w:val="000000"/>
          <w:sz w:val="22"/>
        </w:rPr>
        <w:t xml:space="preserve">, including a periodic review and update of surgical privileges not to exceed every three years or other term permitted by an accrediting organization approved by CMS for federal certification, whichever is longer. The surgical service must maintain a roster of these individuals specifying the surgical privileges of each.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 availability of at least one registered nurse for the operating room suites to respond to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qualifications and job descriptions of nursing personnel, surgical technicians, and other support personnel and continuing education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Appropriate staffing for surgical services, including physician and anesthesia coverage and other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Availability of ancillary services for surgical patients, including but not limited to blood banking, laboratory, radiology, and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Infection control and disease prevention, including aseptic surveillance and practice, identification of infected and noninfected cases, sterilization and disinfection procedures, and ongoing monitoring of infections and infection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Housekeeping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Safety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Ongoing quality assessment, performance improvement, and process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pathological examination of tissue specimens either directly or through contractual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Appropriate preoperative teaching and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may be adjusted as appropriate to reflect the provision of surgical services in inpatient, outpatient or one-day surgical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51.18(3)</w:t>
      </w:r>
      <w:r>
        <w:rPr>
          <w:rFonts w:ascii="Times New Roman" w:hAnsi="Times New Roman"/>
          <w:b w:val="false"/>
          <w:i w:val="false"/>
          <w:color w:val="000000"/>
          <w:sz w:val="22"/>
        </w:rPr>
        <w:t> </w:t>
      </w:r>
      <w:r>
        <w:rPr>
          <w:rFonts w:ascii="Times New Roman" w:hAnsi="Times New Roman"/>
          <w:b w:val="false"/>
          <w:i w:val="false"/>
          <w:color w:val="000000"/>
          <w:sz w:val="22"/>
        </w:rPr>
        <w:t>There must be an appropriate history and physical workup documented and a properly executed consent form in the chart of each patient prior to surgery, except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51.18(4)</w:t>
      </w:r>
      <w:r>
        <w:rPr>
          <w:rFonts w:ascii="Times New Roman" w:hAnsi="Times New Roman"/>
          <w:b w:val="false"/>
          <w:i w:val="false"/>
          <w:color w:val="000000"/>
          <w:sz w:val="22"/>
        </w:rPr>
        <w:t> </w:t>
      </w:r>
      <w:r>
        <w:rPr>
          <w:rFonts w:ascii="Times New Roman" w:hAnsi="Times New Roman"/>
          <w:b w:val="false"/>
          <w:i w:val="false"/>
          <w:color w:val="000000"/>
          <w:sz w:val="22"/>
        </w:rPr>
        <w:t>A full operative report must be written or dictated within 24 hours following surgery and signed by the individual conducting the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51.18(5)</w:t>
      </w:r>
      <w:r>
        <w:rPr>
          <w:rFonts w:ascii="Times New Roman" w:hAnsi="Times New Roman"/>
          <w:b w:val="false"/>
          <w:i w:val="false"/>
          <w:color w:val="000000"/>
          <w:sz w:val="22"/>
        </w:rPr>
        <w:t> </w:t>
      </w:r>
      <w:r>
        <w:rPr>
          <w:rFonts w:ascii="Times New Roman" w:hAnsi="Times New Roman"/>
          <w:b w:val="false"/>
          <w:i w:val="false"/>
          <w:color w:val="000000"/>
          <w:sz w:val="22"/>
        </w:rPr>
        <w:t>Equipment available in the operating room, recovery room, outpatient surgical areas, and for postsurgical care must be consistent with the needs of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481—51.19</w:t>
      </w:r>
      <w:r>
        <w:rPr>
          <w:rFonts w:ascii="Times New Roman" w:hAnsi="Times New Roman"/>
          <w:b/>
          <w:i w:val="false"/>
          <w:color w:val="000000"/>
          <w:sz w:val="22"/>
        </w:rPr>
        <w:t xml:space="preserve">(135B) </w:t>
      </w:r>
      <w:r>
        <w:rPr>
          <w:rFonts w:ascii="Times New Roman" w:hAnsi="Times New Roman"/>
          <w:b/>
          <w:i w:val="false"/>
          <w:color w:val="000000"/>
          <w:sz w:val="22"/>
        </w:rPr>
        <w:t xml:space="preserve">Anesthesia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governing anesthesia services that are consistent with the needs and resources of the hospital. Written policies and procedures governing anesthesia services shall be developed and implemented in consultation with and with the approval of the hospital’s medical staff and, at a minimum,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Anesthesia services under the direction of a qualified doctor of medicine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qualifications of individuals authorized to administer anesthesia as set out in the hospital’s medical staff bylaws or medical staff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Preanesthesia evaluation, appraisal of a patient’s current condition, preparation of an intraoperative anesthesia record, and discharge criteria for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functioning and safety, including ensuring that a qualified medical doctor, osteopathic physician and surgeon or anesthetist checks, prior to the administration of anesthesia, the readiness, availability, cleanliness, and working condition of all equipment to be used in the administration of anesthetic agents and minimizing electrical hazard in anesthesia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Quality assurance, including infection control procedures; integration of anesthesia services into various areas of the hospital; and ongoing monitoring, review, and evaluation of anesthesia services,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may be adjusted as appropriate to reflect provision of anesthesia services in inpatient or outpatient settings.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481—51.20</w:t>
      </w:r>
      <w:r>
        <w:rPr>
          <w:rFonts w:ascii="Times New Roman" w:hAnsi="Times New Roman"/>
          <w:b/>
          <w:i w:val="false"/>
          <w:color w:val="000000"/>
          <w:sz w:val="22"/>
        </w:rPr>
        <w:t xml:space="preserve">(135B) </w:t>
      </w:r>
      <w:r>
        <w:rPr>
          <w:rFonts w:ascii="Times New Roman" w:hAnsi="Times New Roman"/>
          <w:b/>
          <w:i w:val="false"/>
          <w:color w:val="000000"/>
          <w:sz w:val="22"/>
        </w:rPr>
        <w:t xml:space="preserve">Emergency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w:t>
      </w:r>
      <w:r>
        <w:rPr>
          <w:rFonts w:ascii="Times New Roman" w:hAnsi="Times New Roman"/>
          <w:b w:val="false"/>
          <w:i w:val="false"/>
          <w:color w:val="000000"/>
          <w:sz w:val="22"/>
        </w:rPr>
        <w:t> </w:t>
      </w:r>
      <w:r>
        <w:rPr>
          <w:rFonts w:ascii="Times New Roman" w:hAnsi="Times New Roman"/>
          <w:b w:val="false"/>
          <w:i w:val="false"/>
          <w:color w:val="000000"/>
          <w:sz w:val="22"/>
        </w:rPr>
        <w:t>All hospitals shall provide for emergency services that offers reasonable care within the medical capabilities of the facility in determining whether an emergency exists, renders care appropriate to the facility and, at a minimum, renders lifesaving first aid and makes appropriate referral to a facility that is capable of providing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51.20(2)</w:t>
      </w:r>
      <w:r>
        <w:rPr>
          <w:rFonts w:ascii="Times New Roman" w:hAnsi="Times New Roman"/>
          <w:b w:val="false"/>
          <w:i w:val="false"/>
          <w:color w:val="000000"/>
          <w:sz w:val="22"/>
        </w:rPr>
        <w:t> </w:t>
      </w:r>
      <w:r>
        <w:rPr>
          <w:rFonts w:ascii="Times New Roman" w:hAnsi="Times New Roman"/>
          <w:b w:val="false"/>
          <w:i w:val="false"/>
          <w:color w:val="000000"/>
          <w:sz w:val="22"/>
        </w:rPr>
        <w:t>The hospital shall have written policies and procedures specifying the scope and conduct of patient care to be provided in the emergency service. The policies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training of all personnel providing patient care in the 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that a medical record be kept on every patient given treatment in the emergency service and establish the medical record documentation. The documentation should include, at a minimum, appropriate information regarding the medical screening provided, except where the person refuses, then notation of patient refusal; physician documentation of the presence or absence of an emergency medical condition or active labor; physician documentation of transfer or discharge, stating the basis for transfer or discharge; and, where transfer occurs, identity of the facility of transfer, acceptance of the patient by the facility of transfer, and means of transfer of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481—51.21</w:t>
      </w:r>
      <w:r>
        <w:rPr>
          <w:rFonts w:ascii="Times New Roman" w:hAnsi="Times New Roman"/>
          <w:b/>
          <w:i w:val="false"/>
          <w:color w:val="000000"/>
          <w:sz w:val="22"/>
        </w:rPr>
        <w:t xml:space="preserve">(135B) </w:t>
      </w:r>
      <w:r>
        <w:rPr>
          <w:rFonts w:ascii="Times New Roman" w:hAnsi="Times New Roman"/>
          <w:b/>
          <w:i w:val="false"/>
          <w:color w:val="000000"/>
          <w:sz w:val="22"/>
        </w:rPr>
        <w:t xml:space="preserve">Obstetric and neonatal services. </w:t>
      </w:r>
      <w:r>
        <w:rPr>
          <w:rFonts w:ascii="Times New Roman" w:hAnsi="Times New Roman"/>
          <w:b w:val="false"/>
          <w:i w:val="false"/>
          <w:color w:val="000000"/>
          <w:sz w:val="22"/>
        </w:rPr>
        <w:t>All hospitals providing obstetrical care shall be properly organized and equipped to provide accommodations for mothers and newborn infants. The supervision of the maternity area shall be under the direction of a qualified registered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481—51.22</w:t>
      </w:r>
      <w:r>
        <w:rPr>
          <w:rFonts w:ascii="Times New Roman" w:hAnsi="Times New Roman"/>
          <w:b/>
          <w:i w:val="false"/>
          <w:color w:val="000000"/>
          <w:sz w:val="22"/>
        </w:rPr>
        <w:t xml:space="preserve">(135B) </w:t>
      </w:r>
      <w:r>
        <w:rPr>
          <w:rFonts w:ascii="Times New Roman" w:hAnsi="Times New Roman"/>
          <w:b/>
          <w:i w:val="false"/>
          <w:color w:val="000000"/>
          <w:sz w:val="22"/>
        </w:rPr>
        <w:t xml:space="preserve">Pediatric services. </w:t>
      </w:r>
      <w:r>
        <w:rPr>
          <w:rFonts w:ascii="Times New Roman" w:hAnsi="Times New Roman"/>
          <w:b w:val="false"/>
          <w:i w:val="false"/>
          <w:color w:val="000000"/>
          <w:sz w:val="22"/>
        </w:rPr>
        <w:t>All hospitals providing pediatric care shall be properly organized and equipped to provide appropriate accommodations for children. The supervision of the pediatric area shall be under the direction of a qualified registered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481—51.23</w:t>
      </w:r>
      <w:r>
        <w:rPr>
          <w:rFonts w:ascii="Times New Roman" w:hAnsi="Times New Roman"/>
          <w:b/>
          <w:i w:val="false"/>
          <w:color w:val="000000"/>
          <w:sz w:val="22"/>
        </w:rPr>
        <w:t xml:space="preserve">(135B) </w:t>
      </w:r>
      <w:r>
        <w:rPr>
          <w:rFonts w:ascii="Times New Roman" w:hAnsi="Times New Roman"/>
          <w:b/>
          <w:i w:val="false"/>
          <w:color w:val="000000"/>
          <w:sz w:val="22"/>
        </w:rPr>
        <w:t xml:space="preserve">Psychiatric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Any hospital operating as a psychiatric hospital or operating a psychiatric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hospital or unit primarily engaged in providing, by or under the supervision of a doctor of medicine or osteopathy, psychiatric services for the diagnosis and treatment of persons with psychiatric illnesses/disorders;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the requirements of this chapter applicable to hospitals. If medical and surgical diagnostic and treatment services are not available within the hospital, the hospital shall have an agreement with an outside source of these services to ensure they are immediately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policies and procedures for informing patients of their rights and responsibilities and for ensuring the availability of a patient advocate;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sufficient numbers of qualified professionals and support staff to evaluate patients, formulate written individualized comprehensive treatment plans, provide active treatment measures, and engage in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51.23(2)</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 of inpatient psychiatric services. </w:t>
      </w:r>
      <w:r>
        <w:rPr>
          <w:rFonts w:ascii="Times New Roman" w:hAnsi="Times New Roman"/>
          <w:b w:val="false"/>
          <w:i w:val="false"/>
          <w:color w:val="000000"/>
          <w:sz w:val="22"/>
        </w:rPr>
        <w:t xml:space="preserve">The director of inpatient psychiatric services shall be a doctor of medicine or osteopathy qualified to meet the training and experience requirements for examination by the American Board of Psychiatry and Neurology or the American Osteopathic Board of Neurology and Psychiatry.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of psychiatric nursing services. </w:t>
      </w:r>
      <w:r>
        <w:rPr>
          <w:rFonts w:ascii="Times New Roman" w:hAnsi="Times New Roman"/>
          <w:b w:val="false"/>
          <w:i w:val="false"/>
          <w:color w:val="000000"/>
          <w:sz w:val="22"/>
        </w:rPr>
        <w:t>The director of psychiatric nursing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registered nurse who has a master’s degree in psychiatric or mental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advanced registered nurse practitioner certified in psychiatric or mental health nursing;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qualified by education and two years’ experience in the care of persons with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Psychological services. </w:t>
      </w:r>
      <w:r>
        <w:rPr>
          <w:rFonts w:ascii="Times New Roman" w:hAnsi="Times New Roman"/>
          <w:b w:val="false"/>
          <w:i w:val="false"/>
          <w:color w:val="000000"/>
          <w:sz w:val="22"/>
        </w:rPr>
        <w:t xml:space="preserve">Psychological services shall be provided or available that are in compliance with Iowa Code chapter </w:t>
      </w:r>
      <w:hyperlink r:id="rId2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r>
        <w:rPr>
          <w:rFonts w:ascii="Times New Roman" w:hAnsi="Times New Roman"/>
          <w:b w:val="false"/>
          <w:i w:val="false"/>
          <w:color w:val="000000"/>
          <w:sz w:val="22"/>
        </w:rPr>
        <w:t>Social services shall provide, or have available by contract, at least one staff member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of social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 in social work with two years’ experience in the care of persons with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Therapeutic services. </w:t>
      </w:r>
      <w:r>
        <w:rPr>
          <w:rFonts w:ascii="Times New Roman" w:hAnsi="Times New Roman"/>
          <w:b w:val="false"/>
          <w:i w:val="false"/>
          <w:color w:val="000000"/>
          <w:sz w:val="22"/>
        </w:rPr>
        <w:t>Therapeutic activities shall be provided by qualified therapists. The activities shall be appropriate to the needs and interests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51.23(3)</w:t>
      </w:r>
      <w:r>
        <w:rPr>
          <w:rFonts w:ascii="Times New Roman" w:hAnsi="Times New Roman"/>
          <w:b w:val="false"/>
          <w:i w:val="false"/>
          <w:color w:val="000000"/>
          <w:sz w:val="22"/>
        </w:rPr>
        <w:t> </w:t>
      </w:r>
      <w:r>
        <w:rPr>
          <w:rFonts w:ascii="Times New Roman" w:hAnsi="Times New Roman"/>
          <w:b w:val="false"/>
          <w:i/>
          <w:color w:val="000000"/>
          <w:sz w:val="22"/>
        </w:rPr>
        <w:t xml:space="preserve">Individual written plan of care. </w:t>
      </w:r>
      <w:r>
        <w:rPr>
          <w:rFonts w:ascii="Times New Roman" w:hAnsi="Times New Roman"/>
          <w:b w:val="false"/>
          <w:i w:val="false"/>
          <w:color w:val="000000"/>
          <w:sz w:val="22"/>
        </w:rPr>
        <w:t>An individual written plan of care shall be developed by an interdisciplinary team of a physician and other personnel who are employed by, or who provide service under contract to patients in, the facility.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and psychiatric evaluation that includes examination of the medical, psychological, social, behavioral, and developmental aspects of the patient. The initial diagnostic and psychiatric evaluation shall be completed within 60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developed by an interdisciplinary team in consultation with the patient, the patient’s legal guardian, and others who are currently providing services or who will provide care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treatment objectives through measurable and obtainable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those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an appropriate postdischarge plan with coordination of services to provide continuity of care following discharge;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reviewed as needed by the interdisciplinary team for the continued appropriateness of the plan and for a determination of needed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481—51.24</w:t>
      </w:r>
      <w:r>
        <w:rPr>
          <w:rFonts w:ascii="Times New Roman" w:hAnsi="Times New Roman"/>
          <w:b/>
          <w:i w:val="false"/>
          <w:color w:val="000000"/>
          <w:sz w:val="22"/>
        </w:rPr>
        <w:t xml:space="preserve">(135B) </w:t>
      </w:r>
      <w:r>
        <w:rPr>
          <w:rFonts w:ascii="Times New Roman" w:hAnsi="Times New Roman"/>
          <w:b/>
          <w:i w:val="false"/>
          <w:color w:val="000000"/>
          <w:sz w:val="22"/>
        </w:rPr>
        <w:t xml:space="preserve">Long-term care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51.24(1)</w:t>
      </w:r>
      <w:r>
        <w:rPr>
          <w:rFonts w:ascii="Times New Roman" w:hAnsi="Times New Roman"/>
          <w:b w:val="false"/>
          <w:i w:val="false"/>
          <w:color w:val="000000"/>
          <w:sz w:val="22"/>
        </w:rPr>
        <w:t> </w:t>
      </w:r>
      <w:r>
        <w:rPr>
          <w:rFonts w:ascii="Times New Roman" w:hAnsi="Times New Roman"/>
          <w:b w:val="false"/>
          <w:i/>
          <w:color w:val="000000"/>
          <w:sz w:val="22"/>
        </w:rPr>
        <w:t xml:space="preserve">Long-term care service definition. </w:t>
      </w:r>
      <w:r>
        <w:rPr>
          <w:rFonts w:ascii="Times New Roman" w:hAnsi="Times New Roman"/>
          <w:b w:val="false"/>
          <w:i w:val="false"/>
          <w:color w:val="000000"/>
          <w:sz w:val="22"/>
        </w:rPr>
        <w:t xml:space="preserve">Long-term care service means any building or distinct part of a building utilized by the hospital for the provision of a service that would fall within the definition of a health care facility in Iowa Code chapter </w:t>
      </w:r>
      <w:hyperlink r:id="rId2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if it was not operating as part of a hospital licensed under Iowa Code chapter </w:t>
      </w:r>
      <w:hyperlink r:id="rId30">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51.24(2)</w:t>
      </w:r>
      <w:r>
        <w:rPr>
          <w:rFonts w:ascii="Times New Roman" w:hAnsi="Times New Roman"/>
          <w:b w:val="false"/>
          <w:i w:val="false"/>
          <w:color w:val="000000"/>
          <w:sz w:val="22"/>
        </w:rPr>
        <w:t> </w:t>
      </w:r>
      <w:r>
        <w:rPr>
          <w:rFonts w:ascii="Times New Roman" w:hAnsi="Times New Roman"/>
          <w:b w:val="false"/>
          <w:i/>
          <w:color w:val="000000"/>
          <w:sz w:val="22"/>
        </w:rPr>
        <w:t xml:space="preserve">Long-term care service general requirements. </w:t>
      </w:r>
      <w:r>
        <w:rPr>
          <w:rFonts w:ascii="Times New Roman" w:hAnsi="Times New Roman"/>
          <w:b w:val="false"/>
          <w:i w:val="false"/>
          <w:color w:val="000000"/>
          <w:sz w:val="22"/>
        </w:rPr>
        <w:t xml:space="preserve">The general requirements for the hospital’s long-term care service are the same as required by Iowa Code chapter </w:t>
      </w:r>
      <w:hyperlink r:id="rId3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rules promulgated thereunder for the category of health care facility involved. Exceptions to those rules requiring distinct parts to be established may be waived where it is found to be in the best interest of the long-term care resident and of no detriment to the patients in the hospital. Requests for waivers to other applicable rules may be made in accordance with the appropriate health care facility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51.24(3)</w:t>
      </w:r>
      <w:r>
        <w:rPr>
          <w:rFonts w:ascii="Times New Roman" w:hAnsi="Times New Roman"/>
          <w:b w:val="false"/>
          <w:i w:val="false"/>
          <w:color w:val="000000"/>
          <w:sz w:val="22"/>
        </w:rPr>
        <w:t> </w:t>
      </w:r>
      <w:r>
        <w:rPr>
          <w:rFonts w:ascii="Times New Roman" w:hAnsi="Times New Roman"/>
          <w:b w:val="false"/>
          <w:i/>
          <w:color w:val="000000"/>
          <w:sz w:val="22"/>
        </w:rPr>
        <w:t xml:space="preserve">Long-term care service staff. </w:t>
      </w:r>
      <w:r>
        <w:rPr>
          <w:rFonts w:ascii="Times New Roman" w:hAnsi="Times New Roman"/>
          <w:b w:val="false"/>
          <w:i w:val="false"/>
          <w:color w:val="000000"/>
          <w:sz w:val="22"/>
        </w:rPr>
        <w:t xml:space="preserve">Where a hospital operates a freestanding nursing care facility, it shall be under the administrative authority of a licensed nursing home administrator who will be responsible to the hospital’s administrator. Where a hospital operates a distinct part long-term care unit under the hospital license, a licensed nursing home administrator is not required. Other staffing requirements for the hospital’s long-term care service are the same as required by Iowa Code chapter </w:t>
      </w:r>
      <w:hyperlink r:id="rId3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481—51.25</w:t>
      </w:r>
      <w:r>
        <w:rPr>
          <w:rFonts w:ascii="Times New Roman" w:hAnsi="Times New Roman"/>
          <w:b/>
          <w:i w:val="false"/>
          <w:color w:val="000000"/>
          <w:sz w:val="22"/>
        </w:rPr>
        <w:t xml:space="preserve">(135B) </w:t>
      </w:r>
      <w:r>
        <w:rPr>
          <w:rFonts w:ascii="Times New Roman" w:hAnsi="Times New Roman"/>
          <w:b/>
          <w:i w:val="false"/>
          <w:color w:val="000000"/>
          <w:sz w:val="22"/>
        </w:rPr>
        <w:t xml:space="preserve">Criminal, dependent adult abuse, and child abuse record checks. </w:t>
      </w:r>
      <w:r>
        <w:rPr>
          <w:rFonts w:ascii="Times New Roman" w:hAnsi="Times New Roman"/>
          <w:b w:val="false"/>
          <w:i w:val="false"/>
          <w:color w:val="000000"/>
          <w:sz w:val="22"/>
        </w:rPr>
        <w:t xml:space="preserve">The requirements for criminal, dependent adult abuse, and child abuse records checks applicable to health care facilities set forth in rule </w:t>
      </w:r>
      <w:hyperlink r:id="rId33">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are applicable to hospitals.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481—51.26</w:t>
      </w:r>
      <w:r>
        <w:rPr>
          <w:rFonts w:ascii="Times New Roman" w:hAnsi="Times New Roman"/>
          <w:b/>
          <w:i w:val="false"/>
          <w:color w:val="000000"/>
          <w:sz w:val="22"/>
        </w:rPr>
        <w:t xml:space="preserve">(135B) </w:t>
      </w:r>
      <w:r>
        <w:rPr>
          <w:rFonts w:ascii="Times New Roman" w:hAnsi="Times New Roman"/>
          <w:b/>
          <w:i w:val="false"/>
          <w:color w:val="000000"/>
          <w:sz w:val="22"/>
        </w:rPr>
        <w:t xml:space="preserve">Minimum standards for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51.26(1)</w:t>
      </w:r>
      <w:r>
        <w:rPr>
          <w:rFonts w:ascii="Times New Roman" w:hAnsi="Times New Roman"/>
          <w:b w:val="false"/>
          <w:i w:val="false"/>
          <w:color w:val="000000"/>
          <w:sz w:val="22"/>
        </w:rPr>
        <w:t> </w:t>
      </w:r>
      <w:r>
        <w:rPr>
          <w:rFonts w:ascii="Times New Roman" w:hAnsi="Times New Roman"/>
          <w:b w:val="false"/>
          <w:i/>
          <w:color w:val="000000"/>
          <w:sz w:val="22"/>
        </w:rPr>
        <w:t xml:space="preserve">Minimum standards. </w:t>
      </w:r>
      <w:r>
        <w:rPr>
          <w:rFonts w:ascii="Times New Roman" w:hAnsi="Times New Roman"/>
          <w:b w:val="false"/>
          <w:i w:val="false"/>
          <w:color w:val="000000"/>
          <w:sz w:val="22"/>
        </w:rPr>
        <w:t>The following construction standards are applicable to hospitals and off-site premises licensed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shall be in accordance with the standards set forth in the Guidelines for Design and Construction of Hospitals,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hospitals and off-site premises built in compliance with prior editions of the hospital construction guidelines will be deemed in compliance with subsequent regulations, with the exception of any new structural renovations, additions, functional alterations, or changes in utilization to existing facilities, which shall meet the standards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construction of a hospital or off-site premises shall be in conformance with </w:t>
      </w:r>
      <w:hyperlink r:id="rId34">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jurisdictions without a local building code enforcement program, the construction shall be in conformance with the state building code, as authorized by Iowa Code section </w:t>
      </w:r>
      <w:hyperlink r:id="rId35">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in effect at the time of plan submittal for review and approval. In jurisdictions with a local building code enforcement program, local building code enforcement must include both the adoption and enforcement of a local building code through plan reviews and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applicable requirement of </w:t>
      </w:r>
      <w:hyperlink r:id="rId36">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is inconsistent with an applicable requirement of the state building code, the hospital or off-site premises is deemed to be in compliance with the state building code requirement if the requirement of </w:t>
      </w:r>
      <w:hyperlink r:id="rId37">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construction documents. </w:t>
      </w:r>
      <w:r>
        <w:rPr>
          <w:rFonts w:ascii="Times New Roman" w:hAnsi="Times New Roman"/>
          <w:b w:val="false"/>
          <w:i w:val="false"/>
          <w:color w:val="000000"/>
          <w:sz w:val="22"/>
        </w:rPr>
        <w:t xml:space="preserve">Submissions shall comply with rule </w:t>
      </w:r>
      <w:hyperlink r:id="rId38">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 xml:space="preserve">(103A). The responsible design professional shall certify that the building plans meet the requirements specified in subrule </w:t>
      </w:r>
      <w:hyperlink r:id="rId39">
        <w:r>
          <w:rPr>
            <w:rStyle w:val="Hyperlink"/>
            <w:rFonts w:ascii="Times New Roman" w:hAnsi="Times New Roman"/>
            <w:b w:val="false"/>
            <w:i w:val="false"/>
            <w:color w:val="000000"/>
            <w:sz w:val="22"/>
          </w:rPr>
          <w:t>51.26(1)</w:t>
        </w:r>
      </w:hyperlink>
      <w:r>
        <w:rPr>
          <w:rFonts w:ascii="Times New Roman" w:hAnsi="Times New Roman"/>
          <w:b w:val="false"/>
          <w:i w:val="false"/>
          <w:color w:val="000000"/>
          <w:sz w:val="22"/>
        </w:rPr>
        <w:t xml:space="preserve">, unless a waiver has been granted pursuant to subrule </w:t>
      </w:r>
      <w:hyperlink r:id="rId40">
        <w:r>
          <w:rPr>
            <w:rStyle w:val="Hyperlink"/>
            <w:rFonts w:ascii="Times New Roman" w:hAnsi="Times New Roman"/>
            <w:b w:val="false"/>
            <w:i w:val="false"/>
            <w:color w:val="000000"/>
            <w:sz w:val="22"/>
          </w:rPr>
          <w:t>51.26(3)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51.26(3)</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Requests for waiver may be submitted to the department in accordance with </w:t>
      </w:r>
      <w:hyperlink r:id="rId41">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Any waiver granted is limited to the specific project under consideration and does not establish a precedent for similar acceptance in other cases. The request must demonstrate how patient safety and the quality of care offered will not be compromised by the waiver. In determining whether a waiver request will be granted, the director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design and planning for the specific property offers improved or compensating features to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alternate or special construction methods, techniques, and mechanical equipment offer equivalent durability, utility, 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health, safety or welfare of any patient is endangered;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Occupancy and function of the building;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of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481—51.27</w:t>
      </w:r>
      <w:r>
        <w:rPr>
          <w:rFonts w:ascii="Times New Roman" w:hAnsi="Times New Roman"/>
          <w:b/>
          <w:i w:val="false"/>
          <w:color w:val="000000"/>
          <w:sz w:val="22"/>
        </w:rPr>
        <w:t xml:space="preserve">(135B) </w:t>
      </w:r>
      <w:r>
        <w:rPr>
          <w:rFonts w:ascii="Times New Roman" w:hAnsi="Times New Roman"/>
          <w:b/>
          <w:i w:val="false"/>
          <w:color w:val="000000"/>
          <w:sz w:val="22"/>
        </w:rPr>
        <w:t xml:space="preserve">Critical access hospitals. </w:t>
      </w:r>
      <w:r>
        <w:rPr>
          <w:rFonts w:ascii="Times New Roman" w:hAnsi="Times New Roman"/>
          <w:b w:val="false"/>
          <w:i w:val="false"/>
          <w:color w:val="000000"/>
          <w:sz w:val="22"/>
        </w:rPr>
        <w:t>Critical access hospitals shall meet the federal conditions of participation as a critical access hospital as described in 42 CFR Part 485, Subpart F, as amended to November 7, 2023, and any federal interpretive guidelines. The requirements of this chapter applicable to hospitals are generally applicable to critical access hospitals unless compliance would be inconsistent with 42 CFR Part 485, Subpart F, as amended to November 7, 2023, and any interpretive guidelines. If swing-bed approval has been granted, all 25 beds may be used interchangeably for acute or skilled nursing facility level of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481—51.28</w:t>
      </w:r>
      <w:r>
        <w:rPr>
          <w:rFonts w:ascii="Times New Roman" w:hAnsi="Times New Roman"/>
          <w:b/>
          <w:i w:val="false"/>
          <w:color w:val="000000"/>
          <w:sz w:val="22"/>
        </w:rPr>
        <w:t xml:space="preserve">(135B) </w:t>
      </w:r>
      <w:r>
        <w:rPr>
          <w:rFonts w:ascii="Times New Roman" w:hAnsi="Times New Roman"/>
          <w:b/>
          <w:i w:val="false"/>
          <w:color w:val="000000"/>
          <w:sz w:val="22"/>
        </w:rPr>
        <w:t xml:space="preserve">Rural emergency hospitals. </w:t>
      </w:r>
      <w:r>
        <w:rPr>
          <w:rFonts w:ascii="Times New Roman" w:hAnsi="Times New Roman"/>
          <w:b w:val="false"/>
          <w:i w:val="false"/>
          <w:color w:val="000000"/>
          <w:sz w:val="22"/>
        </w:rPr>
        <w:t xml:space="preserve">Rural emergency hospitals shall meet the federal conditions of participation for rural emergency hospitals, as set forth in 42 CFR Part 485, Subpart E, as amended to January 1, 2023, and any federal interpretive guidelines. The requirements of this chapter applicable to hospitals are generally applicable to rural emergency hospitals unless compliance would be inconsistent with 42 CFR Part 485, Subpart E, as amended to January 1, 2023, and any federal interpretive guidelines.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481—51.29</w:t>
      </w:r>
      <w:r>
        <w:rPr>
          <w:rFonts w:ascii="Times New Roman" w:hAnsi="Times New Roman"/>
          <w:b/>
          <w:i w:val="false"/>
          <w:color w:val="000000"/>
          <w:sz w:val="22"/>
        </w:rPr>
        <w:t xml:space="preserve">(135B) </w:t>
      </w:r>
      <w:r>
        <w:rPr>
          <w:rFonts w:ascii="Times New Roman" w:hAnsi="Times New Roman"/>
          <w:b/>
          <w:i w:val="false"/>
          <w:color w:val="000000"/>
          <w:sz w:val="22"/>
        </w:rPr>
        <w:t xml:space="preserve">Specialized hospitals. </w:t>
      </w:r>
      <w:r>
        <w:rPr>
          <w:rFonts w:ascii="Times New Roman" w:hAnsi="Times New Roman"/>
          <w:b w:val="false"/>
          <w:i w:val="false"/>
          <w:color w:val="000000"/>
          <w:sz w:val="22"/>
        </w:rPr>
        <w:t>A specialized hospital shall meet the requirements for a general hospital. The diagnosis, treatment or care at a specialized hospital shall be administered by or performed under the direction of persons especially qualified in the diagnosis and treatment of the particular illness, injury, or infirmity.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2">
        <w:r>
          <w:rPr>
            <w:rStyle w:val="Hyperlink"/>
            <w:rFonts w:ascii="Times New Roman" w:hAnsi="Times New Roman"/>
            <w:b w:val="false"/>
            <w:i w:val="false"/>
            <w:color w:val="000000"/>
            <w:sz w:val="22"/>
          </w:rPr>
          <w:t>135B.3A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135B.7</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135B.7A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30, 1948]</w:t>
      </w:r>
    </w:p>
    <w:p>
      <w:pPr>
        <w:spacing w:before="0" w:after="0"/>
        <w:ind w:left="120"/>
        <w:jc w:val="center"/>
      </w:pPr>
      <w:r>
        <w:rPr>
          <w:rFonts w:ascii="Times New Roman" w:hAnsi="Times New Roman"/>
          <w:b w:val="false"/>
          <w:i w:val="false"/>
          <w:color w:val="000000"/>
          <w:sz w:val="21"/>
        </w:rPr>
        <w:t>[Filed 9/9/76, Notice 6/14/76—published 10/6/76, effective 11/15/76]</w:t>
      </w:r>
    </w:p>
    <w:p>
      <w:pPr>
        <w:spacing w:before="0" w:after="0"/>
        <w:ind w:left="120"/>
        <w:jc w:val="center"/>
      </w:pPr>
      <w:r>
        <w:rPr>
          <w:rFonts w:ascii="Times New Roman" w:hAnsi="Times New Roman"/>
          <w:b w:val="false"/>
          <w:i w:val="false"/>
          <w:color w:val="000000"/>
          <w:sz w:val="21"/>
        </w:rPr>
        <w:t>[Filed 11/12/76, Notice 10/6/76—published 12/1/76, effective 1/5/77]</w:t>
      </w:r>
    </w:p>
    <w:p>
      <w:pPr>
        <w:spacing w:before="0" w:after="0"/>
        <w:ind w:left="120"/>
        <w:jc w:val="center"/>
      </w:pPr>
      <w:r>
        <w:rPr>
          <w:rFonts w:ascii="Times New Roman" w:hAnsi="Times New Roman"/>
          <w:b w:val="false"/>
          <w:i w:val="false"/>
          <w:color w:val="000000"/>
          <w:sz w:val="21"/>
        </w:rPr>
        <w:t>[Filed 11/10/77, Notice 9/7/77—published 11/30/77, effective 1/4/78]</w:t>
      </w:r>
    </w:p>
    <w:p>
      <w:pPr>
        <w:spacing w:before="0" w:after="0"/>
        <w:ind w:left="120"/>
        <w:jc w:val="center"/>
      </w:pPr>
      <w:r>
        <w:rPr>
          <w:rFonts w:ascii="Times New Roman" w:hAnsi="Times New Roman"/>
          <w:b w:val="false"/>
          <w:i w:val="false"/>
          <w:color w:val="000000"/>
          <w:sz w:val="21"/>
        </w:rPr>
        <w:t>[Filed 12/28/84, Notice 10/10/84—published 1/16/85, effective 4/3/85]</w:t>
      </w:r>
    </w:p>
    <w:p>
      <w:pPr>
        <w:spacing w:before="0" w:after="0"/>
        <w:ind w:left="120"/>
        <w:jc w:val="center"/>
      </w:pPr>
      <w:r>
        <w:rPr>
          <w:rFonts w:ascii="Times New Roman" w:hAnsi="Times New Roman"/>
          <w:b w:val="false"/>
          <w:i w:val="false"/>
          <w:color w:val="000000"/>
          <w:sz w:val="21"/>
        </w:rPr>
        <w:t>[Filed 1/10/86, Notice 11/6/85—published 1/29/86, effective 3/5/86]</w:t>
      </w:r>
    </w:p>
    <w:p>
      <w:pPr>
        <w:spacing w:before="0" w:after="0"/>
        <w:ind w:left="120"/>
        <w:jc w:val="center"/>
      </w:pPr>
      <w:r>
        <w:rPr>
          <w:rFonts w:ascii="Times New Roman" w:hAnsi="Times New Roman"/>
          <w:b w:val="false"/>
          <w:i w:val="false"/>
          <w:color w:val="000000"/>
          <w:sz w:val="21"/>
        </w:rPr>
        <w:t>[Filed 4/1/86, Notice 1/1/86—published 4/23/86, effective 5/28/86]</w:t>
      </w:r>
    </w:p>
    <w:p>
      <w:pPr>
        <w:spacing w:before="0" w:after="0"/>
        <w:ind w:left="120"/>
        <w:jc w:val="center"/>
      </w:pPr>
      <w:r>
        <w:rPr>
          <w:rFonts w:ascii="Times New Roman" w:hAnsi="Times New Roman"/>
          <w:b w:val="false"/>
          <w:i w:val="false"/>
          <w:color w:val="000000"/>
          <w:sz w:val="21"/>
        </w:rPr>
        <w:t>[Filed 5/15/86, Notice 2/26/86—published 6/4/86, effective 7/9/86]</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1/20/87, Notice 12/3/86—published 2/11/87, effective 3/18/87]</w:t>
      </w:r>
    </w:p>
    <w:p>
      <w:pPr>
        <w:spacing w:before="0" w:after="0"/>
        <w:ind w:left="120"/>
        <w:jc w:val="center"/>
      </w:pPr>
      <w:r>
        <w:rPr>
          <w:rFonts w:ascii="Times New Roman" w:hAnsi="Times New Roman"/>
          <w:b w:val="false"/>
          <w:i w:val="false"/>
          <w:color w:val="000000"/>
          <w:sz w:val="21"/>
        </w:rPr>
        <w:t>[Filed 3/12/87, Notice 12/31/86—published 4/8/87, effective 5/13/87]</w:t>
      </w:r>
    </w:p>
    <w:p>
      <w:pPr>
        <w:spacing w:before="0" w:after="0"/>
        <w:ind w:left="120"/>
        <w:jc w:val="center"/>
      </w:pPr>
      <w:r>
        <w:rPr>
          <w:rFonts w:ascii="Times New Roman" w:hAnsi="Times New Roman"/>
          <w:b w:val="false"/>
          <w:i w:val="false"/>
          <w:color w:val="000000"/>
          <w:sz w:val="21"/>
        </w:rPr>
        <w:t>[Filed 5/12/88, Notice 3/9/88—published 6/1/88, effective 7/6/88]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11/17/88, Notice 8/10/88—published 12/14/88, effective 1/18/89]</w:t>
      </w:r>
    </w:p>
    <w:p>
      <w:pPr>
        <w:spacing w:before="0" w:after="0"/>
        <w:ind w:left="120"/>
        <w:jc w:val="center"/>
      </w:pPr>
      <w:r>
        <w:rPr>
          <w:rFonts w:ascii="Times New Roman" w:hAnsi="Times New Roman"/>
          <w:b w:val="false"/>
          <w:i w:val="false"/>
          <w:color w:val="000000"/>
          <w:sz w:val="21"/>
        </w:rPr>
        <w:t>[Filed 11/9/89, Notice 8/9/89—published 11/29/89, effective 1/3/90]</w:t>
      </w:r>
    </w:p>
    <w:p>
      <w:pPr>
        <w:spacing w:before="0" w:after="0"/>
        <w:ind w:left="120"/>
        <w:jc w:val="center"/>
      </w:pPr>
      <w:r>
        <w:rPr>
          <w:rFonts w:ascii="Times New Roman" w:hAnsi="Times New Roman"/>
          <w:b w:val="false"/>
          <w:i w:val="false"/>
          <w:color w:val="000000"/>
          <w:sz w:val="21"/>
        </w:rPr>
        <w:t>[Filed 1/12/90, Notice 11/29/89—published 2/7/90, effective 3/14/90]</w:t>
      </w:r>
    </w:p>
    <w:p>
      <w:pPr>
        <w:spacing w:before="0" w:after="0"/>
        <w:ind w:left="120"/>
        <w:jc w:val="center"/>
      </w:pPr>
      <w:r>
        <w:rPr>
          <w:rFonts w:ascii="Times New Roman" w:hAnsi="Times New Roman"/>
          <w:b w:val="false"/>
          <w:i w:val="false"/>
          <w:color w:val="000000"/>
          <w:sz w:val="21"/>
        </w:rPr>
        <w:t>[Filed 3/15/90, Notice 12/27/89—published 4/4/90, effective 5/9/90]</w:t>
      </w:r>
    </w:p>
    <w:p>
      <w:pPr>
        <w:spacing w:before="0" w:after="0"/>
        <w:ind w:left="120"/>
        <w:jc w:val="center"/>
      </w:pPr>
      <w:r>
        <w:rPr>
          <w:rFonts w:ascii="Times New Roman" w:hAnsi="Times New Roman"/>
          <w:b w:val="false"/>
          <w:i w:val="false"/>
          <w:color w:val="000000"/>
          <w:sz w:val="21"/>
        </w:rPr>
        <w:t>[Filed emergency 7/13/90—published 8/8/90, effective 7/20/90]</w:t>
      </w:r>
    </w:p>
    <w:p>
      <w:pPr>
        <w:spacing w:before="0" w:after="0"/>
        <w:ind w:left="120"/>
        <w:jc w:val="center"/>
      </w:pPr>
      <w:r>
        <w:rPr>
          <w:rFonts w:ascii="Times New Roman" w:hAnsi="Times New Roman"/>
          <w:b w:val="false"/>
          <w:i w:val="false"/>
          <w:color w:val="000000"/>
          <w:sz w:val="21"/>
        </w:rPr>
        <w:t>[Filed 9/28/90, Notice 8/8/90—published 10/17/90, effective 11/21/90]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12/2/93, Notices 10/13/93—published 12/22/93, effective 1/26/94]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3/11/94, Notice 2/2/94—published 3/30/94, effective 5/4/94]</w:t>
      </w:r>
    </w:p>
    <w:p>
      <w:pPr>
        <w:spacing w:before="0" w:after="0"/>
        <w:ind w:left="120"/>
        <w:jc w:val="center"/>
      </w:pPr>
      <w:r>
        <w:rPr>
          <w:rFonts w:ascii="Times New Roman" w:hAnsi="Times New Roman"/>
          <w:b w:val="false"/>
          <w:i w:val="false"/>
          <w:color w:val="000000"/>
          <w:sz w:val="21"/>
        </w:rPr>
        <w:t>[Filed 8/12/94, Notice 6/8/94—published 8/31/94, effective 10/5/94]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1/25/96, Notice 12/20/95—published 2/14/96, effective 3/20/96]</w:t>
      </w:r>
    </w:p>
    <w:p>
      <w:pPr>
        <w:spacing w:before="0" w:after="0"/>
        <w:ind w:left="120"/>
        <w:jc w:val="center"/>
      </w:pPr>
      <w:r>
        <w:rPr>
          <w:rFonts w:ascii="Times New Roman" w:hAnsi="Times New Roman"/>
          <w:b w:val="false"/>
          <w:i w:val="false"/>
          <w:color w:val="000000"/>
          <w:sz w:val="21"/>
        </w:rPr>
        <w:t>[Filed 3/19/96, Notice 12/20/95—published 4/10/96, effective 5/15/96]</w:t>
      </w:r>
    </w:p>
    <w:p>
      <w:pPr>
        <w:spacing w:before="0" w:after="0"/>
        <w:ind w:left="120"/>
        <w:jc w:val="center"/>
      </w:pPr>
      <w:r>
        <w:rPr>
          <w:rFonts w:ascii="Times New Roman" w:hAnsi="Times New Roman"/>
          <w:b w:val="false"/>
          <w:i w:val="false"/>
          <w:color w:val="000000"/>
          <w:sz w:val="21"/>
        </w:rPr>
        <w:t>[Filed 7/11/97, Notice 4/9/97—published 7/30/97, effective 9/3/97]</w:t>
      </w:r>
    </w:p>
    <w:p>
      <w:pPr>
        <w:spacing w:before="0" w:after="0"/>
        <w:ind w:left="120"/>
        <w:jc w:val="center"/>
      </w:pPr>
      <w:r>
        <w:rPr>
          <w:rFonts w:ascii="Times New Roman" w:hAnsi="Times New Roman"/>
          <w:b w:val="false"/>
          <w:i w:val="false"/>
          <w:color w:val="000000"/>
          <w:sz w:val="21"/>
        </w:rPr>
        <w:t>[Filed 7/24/97, Notice 3/26/97—published 8/13/97, effective 9/17/97]</w:t>
      </w:r>
    </w:p>
    <w:p>
      <w:pPr>
        <w:spacing w:before="0" w:after="0"/>
        <w:ind w:left="120"/>
        <w:jc w:val="center"/>
      </w:pPr>
      <w:r>
        <w:rPr>
          <w:rFonts w:ascii="Times New Roman" w:hAnsi="Times New Roman"/>
          <w:b w:val="false"/>
          <w:i w:val="false"/>
          <w:color w:val="000000"/>
          <w:sz w:val="21"/>
        </w:rPr>
        <w:t>[Filed 3/31/98, Notice 11/5/97—published 4/22/98, effective 5/27/98]</w:t>
      </w:r>
    </w:p>
    <w:p>
      <w:pPr>
        <w:spacing w:before="0" w:after="0"/>
        <w:ind w:left="120"/>
        <w:jc w:val="center"/>
      </w:pPr>
      <w:r>
        <w:rPr>
          <w:rFonts w:ascii="Times New Roman" w:hAnsi="Times New Roman"/>
          <w:b w:val="false"/>
          <w:i w:val="false"/>
          <w:color w:val="000000"/>
          <w:sz w:val="21"/>
        </w:rPr>
        <w:t>[Filed 5/14/98, Notice 2/25/98—published 6/3/98, effective 7/8/98]</w:t>
      </w:r>
    </w:p>
    <w:p>
      <w:pPr>
        <w:spacing w:before="0" w:after="0"/>
        <w:ind w:left="120"/>
        <w:jc w:val="center"/>
      </w:pPr>
      <w:r>
        <w:rPr>
          <w:rFonts w:ascii="Times New Roman" w:hAnsi="Times New Roman"/>
          <w:b w:val="false"/>
          <w:i w:val="false"/>
          <w:color w:val="000000"/>
          <w:sz w:val="21"/>
        </w:rPr>
        <w:t>[Filed 11/12/98, Notice 9/23/98—published 12/2/98, effective 1/6/99]</w:t>
      </w:r>
    </w:p>
    <w:p>
      <w:pPr>
        <w:spacing w:before="0" w:after="0"/>
        <w:ind w:left="120"/>
        <w:jc w:val="center"/>
      </w:pPr>
      <w:r>
        <w:rPr>
          <w:rFonts w:ascii="Times New Roman" w:hAnsi="Times New Roman"/>
          <w:b w:val="false"/>
          <w:i w:val="false"/>
          <w:color w:val="000000"/>
          <w:sz w:val="21"/>
        </w:rPr>
        <w:t>[Filed 3/18/99, Notice 2/10/99—published 4/7/99, effective 5/12/99]</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11/12/99, Notice 8/25/99—published 12/1/99, effective 1/5/00]</w:t>
      </w:r>
    </w:p>
    <w:p>
      <w:pPr>
        <w:spacing w:before="0" w:after="0"/>
        <w:ind w:left="120"/>
        <w:jc w:val="center"/>
      </w:pPr>
      <w:r>
        <w:rPr>
          <w:rFonts w:ascii="Times New Roman" w:hAnsi="Times New Roman"/>
          <w:b w:val="false"/>
          <w:i w:val="false"/>
          <w:color w:val="000000"/>
          <w:sz w:val="21"/>
        </w:rPr>
        <w:t>[Filed 3/30/00, Notice 2/9/00—published 4/19/00, effective 5/24/00]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9/13/01, Notice 8/8/01—published 10/3/01, effective 11/7/01]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11/16/01, Notice 8/8/01—published 12/12/01, effective 1/16/02]</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9/11/03, Notice 8/6/03—published 10/1/03, effective 11/5/03]</w:t>
      </w:r>
    </w:p>
    <w:p>
      <w:pPr>
        <w:spacing w:before="0" w:after="0"/>
        <w:ind w:left="120"/>
        <w:jc w:val="center"/>
      </w:pPr>
      <w:r>
        <w:rPr>
          <w:rFonts w:ascii="Times New Roman" w:hAnsi="Times New Roman"/>
          <w:b w:val="false"/>
          <w:i w:val="false"/>
          <w:color w:val="000000"/>
          <w:sz w:val="21"/>
        </w:rPr>
        <w:t>[Filed 7/15/04, Notice 6/9/04—published 8/4/04, effective 9/8/04]</w:t>
      </w:r>
    </w:p>
    <w:p>
      <w:pPr>
        <w:spacing w:before="0" w:after="0"/>
        <w:ind w:left="120"/>
        <w:jc w:val="center"/>
      </w:pPr>
      <w:r>
        <w:rPr>
          <w:rFonts w:ascii="Times New Roman" w:hAnsi="Times New Roman"/>
          <w:b w:val="false"/>
          <w:i w:val="false"/>
          <w:color w:val="000000"/>
          <w:sz w:val="21"/>
        </w:rPr>
        <w:t>[Filed 1/12/05, Notice 12/8/04—published 2/2/05, effective 3/9/05]</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1/11/06, Notice 10/12/05—published 2/1/06, effective 3/8/06]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emergency 7/11/07—published 8/1/07, effective 7/11/07]</w:t>
      </w:r>
    </w:p>
    <w:p>
      <w:pPr>
        <w:spacing w:before="0" w:after="0"/>
        <w:ind w:left="120"/>
        <w:jc w:val="center"/>
      </w:pPr>
      <w:r>
        <w:rPr>
          <w:rFonts w:ascii="Times New Roman" w:hAnsi="Times New Roman"/>
          <w:b w:val="false"/>
          <w:i w:val="false"/>
          <w:color w:val="000000"/>
          <w:sz w:val="21"/>
        </w:rPr>
        <w:t>[Filed 9/12/07, Notice 8/1/07—published 10/10/07, effective 11/14/07]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3/17/08, Notice 1/30/08—published 4/9/08, effective 5/14/08]</w:t>
      </w:r>
    </w:p>
    <w:p>
      <w:pPr>
        <w:spacing w:before="0" w:after="0"/>
        <w:ind w:left="120"/>
        <w:jc w:val="center"/>
      </w:pPr>
      <w:r>
        <w:rPr>
          <w:rFonts w:ascii="Times New Roman" w:hAnsi="Times New Roman"/>
          <w:b w:val="false"/>
          <w:i w:val="false"/>
          <w:color w:val="000000"/>
          <w:sz w:val="21"/>
        </w:rPr>
        <w:t>[Filed ARC 9251B</w:t>
      </w:r>
      <w:r>
        <w:rPr>
          <w:rFonts w:ascii="Times New Roman" w:hAnsi="Times New Roman"/>
          <w:b w:val="false"/>
          <w:i w:val="false"/>
          <w:color w:val="000000"/>
          <w:sz w:val="21"/>
        </w:rPr>
        <w:t xml:space="preserve"> (Notice ARC 9119B, IAB 10/6/10)</w:t>
      </w:r>
      <w:r>
        <w:rPr>
          <w:rFonts w:ascii="Times New Roman" w:hAnsi="Times New Roman"/>
          <w:b w:val="false"/>
          <w:i w:val="false"/>
          <w:color w:val="000000"/>
          <w:sz w:val="21"/>
        </w:rPr>
        <w:t>, IAB 12/1/10, effective 1/5/11]</w:t>
      </w:r>
      <w:r>
        <w:br/>
      </w:r>
      <w:r>
        <w:rPr>
          <w:rFonts w:ascii="Times New Roman" w:hAnsi="Times New Roman"/>
          <w:b w:val="false"/>
          <w:i w:val="false"/>
          <w:color w:val="000000"/>
          <w:sz w:val="21"/>
        </w:rPr>
        <w:t>[Filed ARC 9252B</w:t>
      </w:r>
      <w:r>
        <w:rPr>
          <w:rFonts w:ascii="Times New Roman" w:hAnsi="Times New Roman"/>
          <w:b w:val="false"/>
          <w:i w:val="false"/>
          <w:color w:val="000000"/>
          <w:sz w:val="21"/>
        </w:rPr>
        <w:t xml:space="preserve"> (Notice ARC 9121B, IAB 10/6/10)</w:t>
      </w:r>
      <w:r>
        <w:rPr>
          <w:rFonts w:ascii="Times New Roman" w:hAnsi="Times New Roman"/>
          <w:b w:val="false"/>
          <w:i w:val="false"/>
          <w:color w:val="000000"/>
          <w:sz w:val="21"/>
        </w:rPr>
        <w:t>, IAB 12/1/10, effective 1/5/11]</w:t>
      </w:r>
      <w:r>
        <w:br/>
      </w:r>
      <w:r>
        <w:rPr>
          <w:rFonts w:ascii="Times New Roman" w:hAnsi="Times New Roman"/>
          <w:b w:val="false"/>
          <w:i w:val="false"/>
          <w:color w:val="000000"/>
          <w:sz w:val="21"/>
        </w:rPr>
        <w:t>[Filed ARC 9253B</w:t>
      </w:r>
      <w:r>
        <w:rPr>
          <w:rFonts w:ascii="Times New Roman" w:hAnsi="Times New Roman"/>
          <w:b w:val="false"/>
          <w:i w:val="false"/>
          <w:color w:val="000000"/>
          <w:sz w:val="21"/>
        </w:rPr>
        <w:t xml:space="preserve"> (Notice ARC 9120B, IAB 10/6/10)</w:t>
      </w:r>
      <w:r>
        <w:rPr>
          <w:rFonts w:ascii="Times New Roman" w:hAnsi="Times New Roman"/>
          <w:b w:val="false"/>
          <w:i w:val="false"/>
          <w:color w:val="000000"/>
          <w:sz w:val="21"/>
        </w:rPr>
        <w:t>, IAB 12/1/10, effective 1/5/11]</w:t>
      </w:r>
    </w:p>
    <w:p>
      <w:pPr>
        <w:spacing w:before="0" w:after="0"/>
        <w:ind w:left="120"/>
        <w:jc w:val="center"/>
      </w:pPr>
      <w:r>
        <w:rPr>
          <w:rFonts w:ascii="Times New Roman" w:hAnsi="Times New Roman"/>
          <w:b w:val="false"/>
          <w:i w:val="false"/>
          <w:color w:val="000000"/>
          <w:sz w:val="21"/>
        </w:rPr>
        <w:t>[Filed ARC 0135C</w:t>
      </w:r>
      <w:r>
        <w:rPr>
          <w:rFonts w:ascii="Times New Roman" w:hAnsi="Times New Roman"/>
          <w:b w:val="false"/>
          <w:i w:val="false"/>
          <w:color w:val="000000"/>
          <w:sz w:val="21"/>
        </w:rPr>
        <w:t xml:space="preserve"> (Notice ARC 0071C,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0484C</w:t>
      </w:r>
      <w:r>
        <w:rPr>
          <w:rFonts w:ascii="Times New Roman" w:hAnsi="Times New Roman"/>
          <w:b w:val="false"/>
          <w:i w:val="false"/>
          <w:color w:val="000000"/>
          <w:sz w:val="21"/>
        </w:rPr>
        <w:t xml:space="preserve"> (Notice ARC 0353C,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1305C</w:t>
      </w:r>
      <w:r>
        <w:rPr>
          <w:rFonts w:ascii="Times New Roman" w:hAnsi="Times New Roman"/>
          <w:b w:val="false"/>
          <w:i w:val="false"/>
          <w:color w:val="000000"/>
          <w:sz w:val="21"/>
        </w:rPr>
        <w:t xml:space="preserve"> (Notice ARC 1230C, IAB 12/11/13)</w:t>
      </w:r>
      <w:r>
        <w:rPr>
          <w:rFonts w:ascii="Times New Roman" w:hAnsi="Times New Roman"/>
          <w:b w:val="false"/>
          <w:i w:val="false"/>
          <w:color w:val="000000"/>
          <w:sz w:val="21"/>
        </w:rPr>
        <w:t>, IAB 2/5/14, effective 3/12/14]</w:t>
      </w:r>
      <w:r>
        <w:br/>
      </w:r>
      <w:r>
        <w:rPr>
          <w:rFonts w:ascii="Times New Roman" w:hAnsi="Times New Roman"/>
          <w:b w:val="false"/>
          <w:i w:val="false"/>
          <w:color w:val="000000"/>
          <w:sz w:val="21"/>
        </w:rPr>
        <w:t>[Filed ARC 1304C</w:t>
      </w:r>
      <w:r>
        <w:rPr>
          <w:rFonts w:ascii="Times New Roman" w:hAnsi="Times New Roman"/>
          <w:b w:val="false"/>
          <w:i w:val="false"/>
          <w:color w:val="000000"/>
          <w:sz w:val="21"/>
        </w:rPr>
        <w:t xml:space="preserve"> (Notice ARC 1242C,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1751C</w:t>
      </w:r>
      <w:r>
        <w:rPr>
          <w:rFonts w:ascii="Times New Roman" w:hAnsi="Times New Roman"/>
          <w:b w:val="false"/>
          <w:i w:val="false"/>
          <w:color w:val="000000"/>
          <w:sz w:val="21"/>
        </w:rPr>
        <w:t xml:space="preserve"> (Notice ARC 1650C,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2157C</w:t>
      </w:r>
      <w:r>
        <w:rPr>
          <w:rFonts w:ascii="Times New Roman" w:hAnsi="Times New Roman"/>
          <w:b w:val="false"/>
          <w:i w:val="false"/>
          <w:color w:val="000000"/>
          <w:sz w:val="21"/>
        </w:rPr>
        <w:t xml:space="preserve"> (Notice ARC 2080C,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2472C</w:t>
      </w:r>
      <w:r>
        <w:rPr>
          <w:rFonts w:ascii="Times New Roman" w:hAnsi="Times New Roman"/>
          <w:b w:val="false"/>
          <w:i w:val="false"/>
          <w:color w:val="000000"/>
          <w:sz w:val="21"/>
        </w:rPr>
        <w:t xml:space="preserve"> (Notice ARC 2302C, IAB 12/9/15)</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4070C</w:t>
      </w:r>
      <w:r>
        <w:rPr>
          <w:rFonts w:ascii="Times New Roman" w:hAnsi="Times New Roman"/>
          <w:b w:val="false"/>
          <w:i w:val="false"/>
          <w:color w:val="000000"/>
          <w:sz w:val="21"/>
        </w:rPr>
        <w:t xml:space="preserve"> (Notice ARC 3918C, IAB 8/1/18)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Emergency ARC 7573C, IAB 2/7/24, effective 1/18/24]</w:t>
      </w:r>
    </w:p>
    <w:p>
      <w:pPr>
        <w:spacing w:before="0" w:after="0"/>
        <w:ind w:left="120"/>
        <w:jc w:val="center"/>
      </w:pPr>
      <w:r>
        <w:rPr>
          <w:rFonts w:ascii="Times New Roman" w:hAnsi="Times New Roman"/>
          <w:b w:val="false"/>
          <w:i w:val="false"/>
          <w:color w:val="000000"/>
          <w:sz w:val="21"/>
        </w:rPr>
        <w:t>[Filed ARC 7887C</w:t>
      </w:r>
      <w:r>
        <w:rPr>
          <w:rFonts w:ascii="Times New Roman" w:hAnsi="Times New Roman"/>
          <w:b w:val="false"/>
          <w:i w:val="false"/>
          <w:color w:val="000000"/>
          <w:sz w:val="21"/>
        </w:rPr>
        <w:t xml:space="preserve"> (Filed Emergency ARC 7573C, IAB 2/7/24; </w:t>
      </w:r>
      <w:r>
        <w:rPr>
          <w:rFonts w:ascii="Times New Roman" w:hAnsi="Times New Roman"/>
          <w:b w:val="false"/>
          <w:i w:val="false"/>
          <w:color w:val="000000"/>
          <w:sz w:val="21"/>
        </w:rPr>
        <w:t>Notice ARC 7572C, IAB 2/7/24)</w:t>
      </w:r>
      <w:r>
        <w:rPr>
          <w:rFonts w:ascii="Times New Roman" w:hAnsi="Times New Roman"/>
          <w:b w:val="false"/>
          <w:i w:val="false"/>
          <w:color w:val="000000"/>
          <w:sz w:val="21"/>
        </w:rPr>
        <w:t>, IAB 5/1/24, effective 6/5/24]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Hospital Protocol for Donor Requests as it appeared in IAC 641—Chapter 180 prior to 4/4/90.</w:t>
      </w:r>
    </w:p>
    <w:p>
      <w:pPr>
        <w:pBdr>
          <w:bottom w:space="2"/>
        </w:pBdr>
        <w:spacing w:before="0" w:after="0"/>
        <w:ind w:left="120"/>
        <w:jc w:val="both"/>
      </w:pPr>
      <w:r>
        <w:rPr>
          <w:rFonts w:ascii="Times New Roman" w:hAnsi="Times New Roman"/>
          <w:b w:val="false"/>
          <w:i w:val="false"/>
          <w:color w:val="000000"/>
          <w:sz w:val="22"/>
        </w:rPr>
        <w:t>January 16, 2013, effective date of 51.24(3) [ARC 0484C] delayed 70 days by the Administrative Rules Review Committee at its meeting held January 8,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1.27.pdf" Type="http://schemas.openxmlformats.org/officeDocument/2006/relationships/hyperlink" Id="rId5"/>
    <Relationship TargetMode="External" Target="https://www.legis.iowa.gov/docs/ico/chapter/135B.1.pdf" Type="http://schemas.openxmlformats.org/officeDocument/2006/relationships/hyperlink" Id="rId6"/>
    <Relationship TargetMode="External" Target="https://www.legis.iowa.gov/docs/ico/chapter/135B.7.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235E.1.pdf" Type="http://schemas.openxmlformats.org/officeDocument/2006/relationships/hyperlink" Id="rId9"/>
    <Relationship TargetMode="External" Target="https://www.legis.iowa.gov/docs/iac/chapter/481.52.pdf" Type="http://schemas.openxmlformats.org/officeDocument/2006/relationships/hyperlink" Id="rId10"/>
    <Relationship TargetMode="External" Target="https://www.legis.iowa.gov/docs/ico/chapter/236.2.pdf" Type="http://schemas.openxmlformats.org/officeDocument/2006/relationships/hyperlink" Id="rId11"/>
    <Relationship TargetMode="External" Target="https://www.legis.iowa.gov/docs/ico/chapter/235F.1.pdf" Type="http://schemas.openxmlformats.org/officeDocument/2006/relationships/hyperlink" Id="rId12"/>
    <Relationship TargetMode="External" Target="https://www.legis.iowa.gov/docs/ico/chapter/236.2.pdf" Type="http://schemas.openxmlformats.org/officeDocument/2006/relationships/hyperlink" Id="rId13"/>
    <Relationship TargetMode="External" Target="https://www.legis.iowa.gov/docs/iac/rule/481.51.7.pdf" Type="http://schemas.openxmlformats.org/officeDocument/2006/relationships/hyperlink" Id="rId14"/>
    <Relationship TargetMode="External" Target="https://www.legis.iowa.gov/docs/iac/rule/481.51.7.pdf" Type="http://schemas.openxmlformats.org/officeDocument/2006/relationships/hyperlink" Id="rId15"/>
    <Relationship TargetMode="External" Target="https://www.legis.iowa.gov/docs/ico/chapter/142C.pdf" Type="http://schemas.openxmlformats.org/officeDocument/2006/relationships/hyperlink" Id="rId16"/>
    <Relationship TargetMode="External" Target="https://www.legis.iowa.gov/docs/iac/rule/481.51.9.pdf" Type="http://schemas.openxmlformats.org/officeDocument/2006/relationships/hyperlink" Id="rId17"/>
    <Relationship TargetMode="External" Target="https://www.legis.iowa.gov/docs/ico/chapter/152E.1.pdf" Type="http://schemas.openxmlformats.org/officeDocument/2006/relationships/hyperlink" Id="rId18"/>
    <Relationship TargetMode="External" Target="https://www.legis.iowa.gov/docs/ico/chapter/152E.1.pdf" Type="http://schemas.openxmlformats.org/officeDocument/2006/relationships/hyperlink" Id="rId19"/>
    <Relationship TargetMode="External" Target="https://www.legis.iowa.gov/docs/ico/chapter/614.pdf" Type="http://schemas.openxmlformats.org/officeDocument/2006/relationships/hyperlink" Id="rId20"/>
    <Relationship TargetMode="External" Target="https://www.legis.iowa.gov/docs/ico/chapter/144.pdf" Type="http://schemas.openxmlformats.org/officeDocument/2006/relationships/hyperlink" Id="rId21"/>
    <Relationship TargetMode="External" Target="https://www.legis.iowa.gov/docs/ico/chapter/144.pdf" Type="http://schemas.openxmlformats.org/officeDocument/2006/relationships/hyperlink" Id="rId22"/>
    <Relationship TargetMode="External" Target="https://www.legis.iowa.gov/docs/iac/rule/481.50.10.pdf" Type="http://schemas.openxmlformats.org/officeDocument/2006/relationships/hyperlink" Id="rId23"/>
    <Relationship TargetMode="External" Target="https://www.legis.iowa.gov/docs/iac/chapter/641.38-42.pdf" Type="http://schemas.openxmlformats.org/officeDocument/2006/relationships/hyperlink" Id="rId24"/>
    <Relationship TargetMode="External" Target="https://www.legis.iowa.gov/docs/ico/chapter/137F.2.pdf" Type="http://schemas.openxmlformats.org/officeDocument/2006/relationships/hyperlink" Id="rId25"/>
    <Relationship TargetMode="External" Target="https://www.legis.iowa.gov/docs/iac/chapter/481.59.pdf" Type="http://schemas.openxmlformats.org/officeDocument/2006/relationships/hyperlink" Id="rId26"/>
    <Relationship TargetMode="External" Target="https://www.legis.iowa.gov/docs/iac/rule/481.51.5.pdf" Type="http://schemas.openxmlformats.org/officeDocument/2006/relationships/hyperlink" Id="rId27"/>
    <Relationship TargetMode="External" Target="https://www.legis.iowa.gov/docs/ico/chapter/154B.pdf" Type="http://schemas.openxmlformats.org/officeDocument/2006/relationships/hyperlink" Id="rId28"/>
    <Relationship TargetMode="External" Target="https://www.legis.iowa.gov/docs/ico/chapter/135C.pdf" Type="http://schemas.openxmlformats.org/officeDocument/2006/relationships/hyperlink" Id="rId29"/>
    <Relationship TargetMode="External" Target="https://www.legis.iowa.gov/docs/ico/chapter/135B.pdf" Type="http://schemas.openxmlformats.org/officeDocument/2006/relationships/hyperlink" Id="rId30"/>
    <Relationship TargetMode="External" Target="https://www.legis.iowa.gov/docs/ico/chapter/135C.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ac/rule/481.50.9.pdf" Type="http://schemas.openxmlformats.org/officeDocument/2006/relationships/hyperlink" Id="rId33"/>
    <Relationship TargetMode="External" Target="https://www.legis.iowa.gov/docs/iac/chapter/661.205.pdf" Type="http://schemas.openxmlformats.org/officeDocument/2006/relationships/hyperlink" Id="rId34"/>
    <Relationship TargetMode="External" Target="https://www.legis.iowa.gov/docs/ico/chapter/103A.7.pdf" Type="http://schemas.openxmlformats.org/officeDocument/2006/relationships/hyperlink" Id="rId35"/>
    <Relationship TargetMode="External" Target="https://www.legis.iowa.gov/docs/iac/chapter/661.205.pdf" Type="http://schemas.openxmlformats.org/officeDocument/2006/relationships/hyperlink" Id="rId36"/>
    <Relationship TargetMode="External" Target="https://www.legis.iowa.gov/docs/iac/chapter/661.205.pdf" Type="http://schemas.openxmlformats.org/officeDocument/2006/relationships/hyperlink" Id="rId37"/>
    <Relationship TargetMode="External" Target="https://www.legis.iowa.gov/docs/iac/rule/661.300.4.pdf" Type="http://schemas.openxmlformats.org/officeDocument/2006/relationships/hyperlink" Id="rId38"/>
    <Relationship TargetMode="External" Target="https://www.legis.iowa.gov/docs/iac/rule/481.51.26.pdf" Type="http://schemas.openxmlformats.org/officeDocument/2006/relationships/hyperlink" Id="rId39"/>
    <Relationship TargetMode="External" Target="https://www.legis.iowa.gov/docs/iac/rule/481.51.26.pdf" Type="http://schemas.openxmlformats.org/officeDocument/2006/relationships/hyperlink" Id="rId40"/>
    <Relationship TargetMode="External" Target="https://www.legis.iowa.gov/docs/iac/chapter/481.6.pdf" Type="http://schemas.openxmlformats.org/officeDocument/2006/relationships/hyperlink" Id="rId41"/>
    <Relationship TargetMode="External" Target="https://www.legis.iowa.gov/docs/ico/chapter/135B.3A.pdf" Type="http://schemas.openxmlformats.org/officeDocument/2006/relationships/hyperlink" Id="rId42"/>
    <Relationship TargetMode="External" Target="https://www.legis.iowa.gov/docs/ico/chapter/135B.7.pdf" Type="http://schemas.openxmlformats.org/officeDocument/2006/relationships/hyperlink" Id="rId43"/>
    <Relationship TargetMode="External" Target="https://www.legis.iowa.gov/docs/ico/chapter/135B.7A.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