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MODEL RULES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500</w:t>
      </w:r>
    </w:p>
    <w:p>
      <w:pPr>
        <w:spacing w:before="0" w:after="0"/>
        <w:ind w:left="120"/>
        <w:jc w:val="center"/>
      </w:pPr>
      <w:r>
        <w:rPr>
          <w:rFonts w:ascii="Times New Roman" w:hAnsi="Times New Roman"/>
          <w:b w:val="false"/>
          <w:i w:val="false"/>
          <w:color w:val="000000"/>
          <w:sz w:val="21"/>
        </w:rPr>
        <w:t>MODEL RULES FOR BOARD ADMINISTRATIVE PROCESSES</w:t>
      </w:r>
    </w:p>
    <w:p>
      <w:pPr>
        <w:spacing w:before="0" w:after="0"/>
        <w:ind w:left="120"/>
        <w:jc w:val="center"/>
      </w:pPr>
      <w:r>
        <w:rPr>
          <w:rFonts w:ascii="Times New Roman" w:hAnsi="Times New Roman"/>
          <w:b w:val="false"/>
          <w:i w:val="false"/>
          <w:color w:val="000000"/>
          <w:sz w:val="14"/>
        </w:rPr>
        <w:t>[Prior to 9/18/24, see Professional Licensure Division[645]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481—500.1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to practice the specific practice governed by one of the boards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licensed to practice the specific practice governed by one of the boards defined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481—500.2</w:t>
      </w:r>
      <w:r>
        <w:rPr>
          <w:rFonts w:ascii="Times New Roman" w:hAnsi="Times New Roman"/>
          <w:b/>
          <w:i w:val="false"/>
          <w:color w:val="000000"/>
          <w:sz w:val="22"/>
        </w:rPr>
        <w:t xml:space="preserve">(17A) </w:t>
      </w:r>
      <w:r>
        <w:rPr>
          <w:rFonts w:ascii="Times New Roman" w:hAnsi="Times New Roman"/>
          <w:b/>
          <w:i w:val="false"/>
          <w:color w:val="000000"/>
          <w:sz w:val="22"/>
        </w:rPr>
        <w:t xml:space="preserve">Purpose of board. </w:t>
      </w:r>
      <w:r>
        <w:rPr>
          <w:rFonts w:ascii="Times New Roman" w:hAnsi="Times New Roman"/>
          <w:b w:val="false"/>
          <w:i w:val="false"/>
          <w:color w:val="000000"/>
          <w:sz w:val="22"/>
        </w:rPr>
        <w:t xml:space="preserve">The purpose of each professional licensing board is to administer and enforce the provisions of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the practice-specific provisions in Iowa Code chapters </w:t>
      </w:r>
      <w:hyperlink r:id="rId9">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applicable to each board. The mission of each professional licensing board is to protect the public health, safety and welfare by licensing qualified individuals who provide services to consumers and by fair and consistent enforcement of the statutes and rules of each board. Responsibilities of each professional licensing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500.2(1)</w:t>
      </w:r>
      <w:r>
        <w:rPr>
          <w:rFonts w:ascii="Times New Roman" w:hAnsi="Times New Roman"/>
          <w:b w:val="false"/>
          <w:i w:val="false"/>
          <w:color w:val="000000"/>
          <w:sz w:val="22"/>
        </w:rPr>
        <w:t> </w:t>
      </w:r>
      <w:r>
        <w:rPr>
          <w:rFonts w:ascii="Times New Roman" w:hAnsi="Times New Roman"/>
          <w:b w:val="false"/>
          <w:i w:val="false"/>
          <w:color w:val="000000"/>
          <w:sz w:val="22"/>
        </w:rPr>
        <w:t>Licensing qualified applicants by examination, renewal, endorsement, and reciprocity.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500.2(2)</w:t>
      </w:r>
      <w:r>
        <w:rPr>
          <w:rFonts w:ascii="Times New Roman" w:hAnsi="Times New Roman"/>
          <w:b w:val="false"/>
          <w:i w:val="false"/>
          <w:color w:val="000000"/>
          <w:sz w:val="22"/>
        </w:rPr>
        <w:t> </w:t>
      </w:r>
      <w:r>
        <w:rPr>
          <w:rFonts w:ascii="Times New Roman" w:hAnsi="Times New Roman"/>
          <w:b w:val="false"/>
          <w:i w:val="false"/>
          <w:color w:val="000000"/>
          <w:sz w:val="22"/>
        </w:rPr>
        <w:t>Developing and administering a program of continuing education to ensure the continued competency of individuals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500.2(3)</w:t>
      </w:r>
      <w:r>
        <w:rPr>
          <w:rFonts w:ascii="Times New Roman" w:hAnsi="Times New Roman"/>
          <w:b w:val="false"/>
          <w:i w:val="false"/>
          <w:color w:val="000000"/>
          <w:sz w:val="22"/>
        </w:rPr>
        <w:t> </w:t>
      </w:r>
      <w:r>
        <w:rPr>
          <w:rFonts w:ascii="Times New Roman" w:hAnsi="Times New Roman"/>
          <w:b w:val="false"/>
          <w:i w:val="false"/>
          <w:color w:val="000000"/>
          <w:sz w:val="22"/>
        </w:rPr>
        <w:t>Imposing discipline on licensees as provided by statute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481—500.3</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Organization of board and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professional licensing board is composed of members appointed by the governor and confirmed by the senate as defined in Iowa Code chapter </w:t>
      </w:r>
      <w:hyperlink r:id="rId2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500.3(2)</w:t>
      </w:r>
      <w:r>
        <w:rPr>
          <w:rFonts w:ascii="Times New Roman" w:hAnsi="Times New Roman"/>
          <w:b w:val="false"/>
          <w:i w:val="false"/>
          <w:color w:val="000000"/>
          <w:sz w:val="22"/>
        </w:rPr>
        <w:t> </w:t>
      </w:r>
      <w:r>
        <w:rPr>
          <w:rFonts w:ascii="Times New Roman" w:hAnsi="Times New Roman"/>
          <w:b w:val="false"/>
          <w:i w:val="false"/>
          <w:color w:val="000000"/>
          <w:sz w:val="22"/>
        </w:rPr>
        <w:t>Each board elects a chairperson and vice chairperson from its membership at the first meeting after April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500.3(3)</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each board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500.3(4)</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are governed in accordance with Iowa Code chapter </w:t>
      </w:r>
      <w:hyperlink r:id="rId2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500.3(5)</w:t>
      </w:r>
      <w:r>
        <w:rPr>
          <w:rFonts w:ascii="Times New Roman" w:hAnsi="Times New Roman"/>
          <w:b w:val="false"/>
          <w:i w:val="false"/>
          <w:color w:val="000000"/>
          <w:sz w:val="22"/>
        </w:rPr>
        <w:t> </w:t>
      </w:r>
      <w:r>
        <w:rPr>
          <w:rFonts w:ascii="Times New Roman" w:hAnsi="Times New Roman"/>
          <w:b w:val="false"/>
          <w:i w:val="false"/>
          <w:color w:val="000000"/>
          <w:sz w:val="22"/>
        </w:rPr>
        <w:t>Each professional licensing board has the authority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continuing education rules to ensure the continued competency of individuals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committees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 closed session if the board votes to do so in a public roll-call vote with an affirmative vote of at least two-thirds if the total board is present or a unanimous vote if fewer are present. The board shall keep minutes of all discussion, persons present, and action occurring at a closed session. The records shall be stored securely in the board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Investigate alleged violations of statutes or rules that relate to the practice of licensees upon receipt of a complaint or upon the board’s own initiation.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Initiate and impose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Monitor licenses that are restricted by a board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Establish and register peer reviewers.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Refer complaints to one or more registered peer reviewers for investigation and review. The peer reviewers will review cases and recommend appropriate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Perform any other functions authorized by a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481—500.4</w:t>
      </w:r>
      <w:r>
        <w:rPr>
          <w:rFonts w:ascii="Times New Roman" w:hAnsi="Times New Roman"/>
          <w:b/>
          <w:i w:val="false"/>
          <w:color w:val="000000"/>
          <w:sz w:val="22"/>
        </w:rPr>
        <w:t xml:space="preserve">(17A) </w:t>
      </w:r>
      <w:r>
        <w:rPr>
          <w:rFonts w:ascii="Times New Roman" w:hAnsi="Times New Roman"/>
          <w:b/>
          <w:i w:val="false"/>
          <w:color w:val="000000"/>
          <w:sz w:val="22"/>
        </w:rPr>
        <w:t xml:space="preserve">Name and address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500.4(1)</w:t>
      </w:r>
      <w:r>
        <w:rPr>
          <w:rFonts w:ascii="Times New Roman" w:hAnsi="Times New Roman"/>
          <w:b w:val="false"/>
          <w:i w:val="false"/>
          <w:color w:val="000000"/>
          <w:sz w:val="22"/>
        </w:rPr>
        <w:t> </w:t>
      </w:r>
      <w:r>
        <w:rPr>
          <w:rFonts w:ascii="Times New Roman" w:hAnsi="Times New Roman"/>
          <w:b w:val="false"/>
          <w:i w:val="false"/>
          <w:color w:val="000000"/>
          <w:sz w:val="22"/>
        </w:rPr>
        <w:t>Notice of change of address. Each licensee shall notify the board of a change of the licensee’s current mailing address within 30 days after the change of address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500.4(2)</w:t>
      </w:r>
      <w:r>
        <w:rPr>
          <w:rFonts w:ascii="Times New Roman" w:hAnsi="Times New Roman"/>
          <w:b w:val="false"/>
          <w:i w:val="false"/>
          <w:color w:val="000000"/>
          <w:sz w:val="22"/>
        </w:rPr>
        <w:t> </w:t>
      </w:r>
      <w:r>
        <w:rPr>
          <w:rFonts w:ascii="Times New Roman" w:hAnsi="Times New Roman"/>
          <w:b w:val="false"/>
          <w:i w:val="false"/>
          <w:color w:val="000000"/>
          <w:sz w:val="22"/>
        </w:rPr>
        <w:t>Notice of change of name. Each licensee shall notify the board in writing of a change of name within 30 days after changing the 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481—500.5</w:t>
      </w:r>
      <w:r>
        <w:rPr>
          <w:rFonts w:ascii="Times New Roman" w:hAnsi="Times New Roman"/>
          <w:b/>
          <w:i w:val="false"/>
          <w:color w:val="000000"/>
          <w:sz w:val="22"/>
        </w:rPr>
        <w:t xml:space="preserve">(147) </w:t>
      </w:r>
      <w:r>
        <w:rPr>
          <w:rFonts w:ascii="Times New Roman" w:hAnsi="Times New Roman"/>
          <w:b/>
          <w:i w:val="false"/>
          <w:color w:val="000000"/>
          <w:sz w:val="22"/>
        </w:rPr>
        <w:t xml:space="preserve">Duplicate certificate. </w:t>
      </w:r>
      <w:r>
        <w:rPr>
          <w:rFonts w:ascii="Times New Roman" w:hAnsi="Times New Roman"/>
          <w:b w:val="false"/>
          <w:i w:val="false"/>
          <w:color w:val="000000"/>
          <w:sz w:val="22"/>
        </w:rPr>
        <w:t>A duplicate certificate is required if the current certificate is lost, stolen or destroyed. Duplicate certificates may be purchased online.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481—500.6</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500.6(1)</w:t>
      </w:r>
      <w:r>
        <w:rPr>
          <w:rFonts w:ascii="Times New Roman" w:hAnsi="Times New Roman"/>
          <w:b w:val="false"/>
          <w:i w:val="false"/>
          <w:color w:val="000000"/>
          <w:sz w:val="22"/>
        </w:rPr>
        <w:t> </w:t>
      </w:r>
      <w:r>
        <w:rPr>
          <w:rFonts w:ascii="Times New Roman" w:hAnsi="Times New Roman"/>
          <w:b w:val="false"/>
          <w:i w:val="false"/>
          <w:color w:val="000000"/>
          <w:sz w:val="22"/>
        </w:rPr>
        <w:t>When the board denies an applicant licensure, the board shall notify the applicant of the denial in writing and cite the reasons for which the application was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been denied licensure by the board may appeal the denial and request a hearing by submitting a request in writing within 30 days following the date of mailing of the notification of licensure denial to the applicant. The request for hearing shall specifically describe the facts to be contested and determined at the hearing. The hearing and subsequent procedures will be held pursuant to the process outlined in Iowa Code chapters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481—500.7</w:t>
      </w:r>
      <w:r>
        <w:rPr>
          <w:rFonts w:ascii="Times New Roman" w:hAnsi="Times New Roman"/>
          <w:b/>
          <w:i w:val="false"/>
          <w:color w:val="000000"/>
          <w:sz w:val="22"/>
        </w:rPr>
        <w:t xml:space="preserve">(272C) </w:t>
      </w:r>
      <w:r>
        <w:rPr>
          <w:rFonts w:ascii="Times New Roman" w:hAnsi="Times New Roman"/>
          <w:b/>
          <w:i w:val="false"/>
          <w:color w:val="000000"/>
          <w:sz w:val="22"/>
        </w:rPr>
        <w:t xml:space="preserve">Audit of continuing education. </w:t>
      </w:r>
      <w:r>
        <w:rPr>
          <w:rFonts w:ascii="Times New Roman" w:hAnsi="Times New Roman"/>
          <w:b w:val="false"/>
          <w:i w:val="false"/>
          <w:color w:val="000000"/>
          <w:sz w:val="22"/>
        </w:rPr>
        <w:t>The board may select licensees for audit following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500.7(1)</w:t>
      </w:r>
      <w:r>
        <w:rPr>
          <w:rFonts w:ascii="Times New Roman" w:hAnsi="Times New Roman"/>
          <w:b w:val="false"/>
          <w:i w:val="false"/>
          <w:color w:val="000000"/>
          <w:sz w:val="22"/>
        </w:rPr>
        <w:t> </w:t>
      </w:r>
      <w:r>
        <w:rPr>
          <w:rFonts w:ascii="Times New Roman" w:hAnsi="Times New Roman"/>
          <w:b w:val="false"/>
          <w:i w:val="false"/>
          <w:color w:val="000000"/>
          <w:sz w:val="22"/>
        </w:rPr>
        <w:t>If selected for audit, the licensee will provide certificates of completion of continuing education within 30 days of notice. The documents will contain the course date, title, contact hours, sponsor and licensee’s name. An extension of time may be granted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500.7(2)</w:t>
      </w:r>
      <w:r>
        <w:rPr>
          <w:rFonts w:ascii="Times New Roman" w:hAnsi="Times New Roman"/>
          <w:b w:val="false"/>
          <w:i w:val="false"/>
          <w:color w:val="000000"/>
          <w:sz w:val="22"/>
        </w:rPr>
        <w:t> </w:t>
      </w:r>
      <w:r>
        <w:rPr>
          <w:rFonts w:ascii="Times New Roman" w:hAnsi="Times New Roman"/>
          <w:b w:val="false"/>
          <w:i w:val="false"/>
          <w:color w:val="000000"/>
          <w:sz w:val="22"/>
        </w:rPr>
        <w:t>All licensees must retain continuing education certificates for two years after the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submitted certificates are incomplete or unsatisfactory, the licensee may submit make-up credit to cover the deficit. The deadline for make-up credit is 90 days from the date of the notice of deficit.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481—500.8</w:t>
      </w:r>
      <w:r>
        <w:rPr>
          <w:rFonts w:ascii="Times New Roman" w:hAnsi="Times New Roman"/>
          <w:b/>
          <w:i w:val="false"/>
          <w:color w:val="000000"/>
          <w:sz w:val="22"/>
        </w:rPr>
        <w:t xml:space="preserve">(272C,83GA,SF2325) </w:t>
      </w:r>
      <w:r>
        <w:rPr>
          <w:rFonts w:ascii="Times New Roman" w:hAnsi="Times New Roman"/>
          <w:b/>
          <w:i w:val="false"/>
          <w:color w:val="000000"/>
          <w:sz w:val="22"/>
        </w:rPr>
        <w:t xml:space="preserve">Automatic exemption. </w:t>
      </w:r>
      <w:r>
        <w:rPr>
          <w:rFonts w:ascii="Times New Roman" w:hAnsi="Times New Roman"/>
          <w:b w:val="false"/>
          <w:i w:val="false"/>
          <w:color w:val="000000"/>
          <w:sz w:val="22"/>
        </w:rPr>
        <w:t>A licensee is exempt from the continuing education requirement during the license biennium when the licensee: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Served on active duty in the military service;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Resided in another state or district having continuing education requirements;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 a government employee working in the licensee’s specialty and assigned to duty outside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481—500.9</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exemption for disability or illness. </w:t>
      </w:r>
      <w:r>
        <w:rPr>
          <w:rFonts w:ascii="Times New Roman" w:hAnsi="Times New Roman"/>
          <w:b w:val="false"/>
          <w:i w:val="false"/>
          <w:color w:val="000000"/>
          <w:sz w:val="22"/>
        </w:rPr>
        <w:t xml:space="preserve">A licensee who has had a physical or mental disability or illness during the license period may apply for an exemption providing an extension of time or exemption from some or all of the continuing education requirements. An applicant shall submit a completed application form approved by the board for an exemption. If the application is from a licensee who is the primary caregiver for a relative who is ill or disabled and needs care from that primary caregiver, the physician shall verify the licensee’s status as the primary caregiver. A licensee who applies for an exemption shall be notified of the decision regarding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500.9(1)</w:t>
      </w:r>
      <w:r>
        <w:rPr>
          <w:rFonts w:ascii="Times New Roman" w:hAnsi="Times New Roman"/>
          <w:b w:val="false"/>
          <w:i w:val="false"/>
          <w:color w:val="000000"/>
          <w:sz w:val="22"/>
        </w:rPr>
        <w:t> </w:t>
      </w:r>
      <w:r>
        <w:rPr>
          <w:rFonts w:ascii="Times New Roman" w:hAnsi="Times New Roman"/>
          <w:b w:val="false"/>
          <w:i w:val="false"/>
          <w:color w:val="000000"/>
          <w:sz w:val="22"/>
        </w:rPr>
        <w:t>The board may grant an extension of time to fulfill the continuing education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500.9(2)</w:t>
      </w:r>
      <w:r>
        <w:rPr>
          <w:rFonts w:ascii="Times New Roman" w:hAnsi="Times New Roman"/>
          <w:b w:val="false"/>
          <w:i w:val="false"/>
          <w:color w:val="000000"/>
          <w:sz w:val="22"/>
        </w:rPr>
        <w:t> </w:t>
      </w:r>
      <w:r>
        <w:rPr>
          <w:rFonts w:ascii="Times New Roman" w:hAnsi="Times New Roman"/>
          <w:b w:val="false"/>
          <w:i w:val="false"/>
          <w:color w:val="000000"/>
          <w:sz w:val="22"/>
        </w:rPr>
        <w:t>The board may grant an exemption from the continuing education requirement for any period of time not to exceed two calendar years. If the physical or mental disability or illness for which an extension or exemption was granted continues beyond the period initially approved by the board, the licensee must reapply for a continuance of the extension 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500.9(3)</w:t>
      </w:r>
      <w:r>
        <w:rPr>
          <w:rFonts w:ascii="Times New Roman" w:hAnsi="Times New Roman"/>
          <w:b w:val="false"/>
          <w:i w:val="false"/>
          <w:color w:val="000000"/>
          <w:sz w:val="22"/>
        </w:rPr>
        <w:t> </w:t>
      </w:r>
      <w:r>
        <w:rPr>
          <w:rFonts w:ascii="Times New Roman" w:hAnsi="Times New Roman"/>
          <w:b w:val="false"/>
          <w:i w:val="false"/>
          <w:color w:val="000000"/>
          <w:sz w:val="22"/>
        </w:rPr>
        <w:t>The board may, as a condition of any extension or exemption granted, require the licensee to make up a portion of the continuing education requirement in the manner determined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481—500.10</w:t>
      </w:r>
      <w:r>
        <w:rPr>
          <w:rFonts w:ascii="Times New Roman" w:hAnsi="Times New Roman"/>
          <w:b/>
          <w:i w:val="false"/>
          <w:color w:val="000000"/>
          <w:sz w:val="22"/>
        </w:rPr>
        <w:t xml:space="preserve">(147,272C) </w:t>
      </w:r>
      <w:r>
        <w:rPr>
          <w:rFonts w:ascii="Times New Roman" w:hAnsi="Times New Roman"/>
          <w:b/>
          <w:i w:val="false"/>
          <w:color w:val="000000"/>
          <w:sz w:val="22"/>
        </w:rPr>
        <w:t xml:space="preserve">Order for physical, mental, substance abuse or clinical competency examination. </w:t>
      </w:r>
      <w:r>
        <w:rPr>
          <w:rFonts w:ascii="Times New Roman" w:hAnsi="Times New Roman"/>
          <w:b w:val="false"/>
          <w:i w:val="false"/>
          <w:color w:val="000000"/>
          <w:sz w:val="22"/>
        </w:rPr>
        <w:t>If the board has probable cause, a licensee may be required to submit to a physical, mental, substance abuse or clinical competency examination at the licensee’s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500.10(1)</w:t>
      </w:r>
      <w:r>
        <w:rPr>
          <w:rFonts w:ascii="Times New Roman" w:hAnsi="Times New Roman"/>
          <w:b w:val="false"/>
          <w:i w:val="false"/>
          <w:color w:val="000000"/>
          <w:sz w:val="22"/>
        </w:rPr>
        <w:t> </w:t>
      </w:r>
      <w:r>
        <w:rPr>
          <w:rFonts w:ascii="Times New Roman" w:hAnsi="Times New Roman"/>
          <w:b w:val="false"/>
          <w:i/>
          <w:color w:val="000000"/>
          <w:sz w:val="22"/>
        </w:rPr>
        <w:t xml:space="preserve">Content of order. </w:t>
      </w:r>
      <w:r>
        <w:rPr>
          <w:rFonts w:ascii="Times New Roman" w:hAnsi="Times New Roman"/>
          <w:b w:val="false"/>
          <w:i w:val="false"/>
          <w:color w:val="000000"/>
          <w:sz w:val="22"/>
        </w:rPr>
        <w:t>A board order for a physical, mental, substance abuse or clinical competency examination shall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time the licensee has to complete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that the licensee is to sign necessary releases for the board to communicate with the examiner of the evaluation or treatment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licensee is to communicate with the board regarding the status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licensee will have the examiner provide the examination results directly to the board within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500.10(2)</w:t>
      </w:r>
      <w:r>
        <w:rPr>
          <w:rFonts w:ascii="Times New Roman" w:hAnsi="Times New Roman"/>
          <w:b w:val="false"/>
          <w:i w:val="false"/>
          <w:color w:val="000000"/>
          <w:sz w:val="22"/>
        </w:rPr>
        <w:t> </w:t>
      </w:r>
      <w:r>
        <w:rPr>
          <w:rFonts w:ascii="Times New Roman" w:hAnsi="Times New Roman"/>
          <w:b w:val="false"/>
          <w:i/>
          <w:color w:val="000000"/>
          <w:sz w:val="22"/>
        </w:rPr>
        <w:t xml:space="preserve">Alternatives. </w:t>
      </w:r>
      <w:r>
        <w:rPr>
          <w:rFonts w:ascii="Times New Roman" w:hAnsi="Times New Roman"/>
          <w:b w:val="false"/>
          <w:i w:val="false"/>
          <w:color w:val="000000"/>
          <w:sz w:val="22"/>
        </w:rPr>
        <w:t>Following issuance of the examination order, the licensee may request additional time to schedule or complete the examination or may request that the board approve an alternative examiner or treatment facility. The board in its discretion shall determine whether to grant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500.10(3)</w:t>
      </w:r>
      <w:r>
        <w:rPr>
          <w:rFonts w:ascii="Times New Roman" w:hAnsi="Times New Roman"/>
          <w:b w:val="false"/>
          <w:i w:val="false"/>
          <w:color w:val="000000"/>
          <w:sz w:val="22"/>
        </w:rPr>
        <w:t> </w:t>
      </w:r>
      <w:r>
        <w:rPr>
          <w:rFonts w:ascii="Times New Roman" w:hAnsi="Times New Roman"/>
          <w:b w:val="false"/>
          <w:i/>
          <w:color w:val="000000"/>
          <w:sz w:val="22"/>
        </w:rPr>
        <w:t xml:space="preserve">Objection to order. </w:t>
      </w:r>
      <w:r>
        <w:rPr>
          <w:rFonts w:ascii="Times New Roman" w:hAnsi="Times New Roman"/>
          <w:b w:val="false"/>
          <w:i w:val="false"/>
          <w:color w:val="000000"/>
          <w:sz w:val="22"/>
        </w:rPr>
        <w:t xml:space="preserve">A licensee who is the subject of a board order and who objects to the order may file a request for hearing. The request for hearing must be filed within 30 days of the date of the examination order, and the request for hearing shall specifically identify the factual and legal issues upon which the licensee bases the objection. A licensee who fails to timely file a request for hearing to object to an examination order waives any future objection to the examination order in the event formal disciplinary charges are filed for failure to comply with the examination order or on any other grounds. The hearing shall be considered a contested case proceeding and shall be governed by the provisions of </w:t>
      </w:r>
      <w:hyperlink r:id="rId3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On judicial review of a board decision in a contested case involving an objection to an examination order, the case will be captioned to maintain the licensee’s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500.10(4)</w:t>
      </w:r>
      <w:r>
        <w:rPr>
          <w:rFonts w:ascii="Times New Roman" w:hAnsi="Times New Roman"/>
          <w:b w:val="false"/>
          <w:i w:val="false"/>
          <w:color w:val="000000"/>
          <w:sz w:val="22"/>
        </w:rPr>
        <w:t> </w:t>
      </w:r>
      <w:r>
        <w:rPr>
          <w:rFonts w:ascii="Times New Roman" w:hAnsi="Times New Roman"/>
          <w:b w:val="false"/>
          <w:i/>
          <w:color w:val="000000"/>
          <w:sz w:val="22"/>
        </w:rPr>
        <w:t xml:space="preserve">Closed hearing. </w:t>
      </w:r>
      <w:r>
        <w:rPr>
          <w:rFonts w:ascii="Times New Roman" w:hAnsi="Times New Roman"/>
          <w:b w:val="false"/>
          <w:i w:val="false"/>
          <w:color w:val="000000"/>
          <w:sz w:val="22"/>
        </w:rPr>
        <w:t xml:space="preserve">Any hearing on an objection to the examination order shall be closed pursuant to Iowa Code section </w:t>
      </w:r>
      <w:hyperlink r:id="rId33">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500.10(5)</w:t>
      </w:r>
      <w:r>
        <w:rPr>
          <w:rFonts w:ascii="Times New Roman" w:hAnsi="Times New Roman"/>
          <w:b w:val="false"/>
          <w:i w:val="false"/>
          <w:color w:val="000000"/>
          <w:sz w:val="22"/>
        </w:rPr>
        <w:t> </w:t>
      </w:r>
      <w:r>
        <w:rPr>
          <w:rFonts w:ascii="Times New Roman" w:hAnsi="Times New Roman"/>
          <w:b w:val="false"/>
          <w:i/>
          <w:color w:val="000000"/>
          <w:sz w:val="22"/>
        </w:rPr>
        <w:t xml:space="preserve">Order and reports confidential. </w:t>
      </w:r>
      <w:r>
        <w:rPr>
          <w:rFonts w:ascii="Times New Roman" w:hAnsi="Times New Roman"/>
          <w:b w:val="false"/>
          <w:i w:val="false"/>
          <w:color w:val="000000"/>
          <w:sz w:val="22"/>
        </w:rPr>
        <w:t xml:space="preserve">An examination order and any subsequent examination reports issued in the course of a board investigation are confidential investigative information pursuant to Iowa Code section </w:t>
      </w:r>
      <w:hyperlink r:id="rId3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However, all investigative information regarding the examination order shall be provided to the licensee in the event the licensee files an objection, under </w:t>
      </w:r>
      <w:hyperlink r:id="rId35">
        <w:r>
          <w:rPr>
            <w:rStyle w:val="Hyperlink"/>
            <w:rFonts w:ascii="Times New Roman" w:hAnsi="Times New Roman"/>
            <w:b w:val="false"/>
            <w:i w:val="false"/>
            <w:color w:val="000000"/>
            <w:sz w:val="22"/>
          </w:rPr>
          <w:t>subrule </w:t>
        </w:r>
      </w:hyperlink>
      <w:r>
        <w:rPr>
          <w:rFonts w:ascii="Times New Roman" w:hAnsi="Times New Roman"/>
          <w:b w:val="false"/>
          <w:i w:val="false"/>
          <w:color w:val="000000"/>
          <w:sz w:val="22"/>
        </w:rPr>
        <w:t>500.15(3)</w:t>
      </w:r>
      <w:r>
        <w:rPr>
          <w:rFonts w:ascii="Times New Roman" w:hAnsi="Times New Roman"/>
          <w:b w:val="false"/>
          <w:i w:val="false"/>
          <w:color w:val="000000"/>
          <w:sz w:val="22"/>
        </w:rPr>
        <w:t>, in order to allow the licensee an opportunity to prepare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500.10(6)</w:t>
      </w:r>
      <w:r>
        <w:rPr>
          <w:rFonts w:ascii="Times New Roman" w:hAnsi="Times New Roman"/>
          <w:b w:val="false"/>
          <w:i w:val="false"/>
          <w:color w:val="000000"/>
          <w:sz w:val="22"/>
        </w:rPr>
        <w:t> </w:t>
      </w:r>
      <w:r>
        <w:rPr>
          <w:rFonts w:ascii="Times New Roman" w:hAnsi="Times New Roman"/>
          <w:b w:val="false"/>
          <w:i/>
          <w:color w:val="000000"/>
          <w:sz w:val="22"/>
        </w:rPr>
        <w:t xml:space="preserve">Admissibility. </w:t>
      </w:r>
      <w:r>
        <w:rPr>
          <w:rFonts w:ascii="Times New Roman" w:hAnsi="Times New Roman"/>
          <w:b w:val="false"/>
          <w:i w:val="false"/>
          <w:color w:val="000000"/>
          <w:sz w:val="22"/>
        </w:rPr>
        <w:t>In the event the licensee submits to evaluation and subsequent proceedings are held before the board, all objections shall be waived as to the admissibility of the examining physicians’ or health care providers’ testimony or examination reports on the grounds that they constitute privileged communication. The medical testimony or examination reports shall not be used against the licensee in any proceeding other than one relating to licensee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500.10(7)</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w:t>
      </w:r>
      <w:r>
        <w:rPr>
          <w:rFonts w:ascii="Times New Roman" w:hAnsi="Times New Roman"/>
          <w:b w:val="false"/>
          <w:i w:val="false"/>
          <w:color w:val="000000"/>
          <w:sz w:val="22"/>
        </w:rPr>
        <w:t>Failure of a licensee to submit to a board-ordered physical, mental, substance abuse or clinical competency examination constitutes a violation of the rules of the board and is grounds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481—500.11</w:t>
      </w:r>
      <w:r>
        <w:rPr>
          <w:rFonts w:ascii="Times New Roman" w:hAnsi="Times New Roman"/>
          <w:b/>
          <w:i w:val="false"/>
          <w:color w:val="000000"/>
          <w:sz w:val="22"/>
        </w:rPr>
        <w:t xml:space="preserve">(252J,272D) </w:t>
      </w:r>
      <w:r>
        <w:rPr>
          <w:rFonts w:ascii="Times New Roman" w:hAnsi="Times New Roman"/>
          <w:b/>
          <w:i w:val="false"/>
          <w:color w:val="000000"/>
          <w:sz w:val="22"/>
        </w:rPr>
        <w:t xml:space="preserve">Noncompliance rules regarding child support and nonpayment of state debt. </w:t>
      </w:r>
      <w:r>
        <w:rPr>
          <w:rFonts w:ascii="Times New Roman" w:hAnsi="Times New Roman"/>
          <w:b w:val="false"/>
          <w:i w:val="false"/>
          <w:color w:val="000000"/>
          <w:sz w:val="22"/>
        </w:rPr>
        <w:t>The board hereby adopts by reference 481—Chapter 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3/19/08, Notice 11/21/07—published 4/9/08, effective 5/14/08]</w:t>
      </w:r>
    </w:p>
    <w:p>
      <w:pPr>
        <w:spacing w:before="0" w:after="0"/>
        <w:ind w:left="120"/>
        <w:jc w:val="center"/>
      </w:pPr>
      <w:r>
        <w:rPr>
          <w:rFonts w:ascii="Times New Roman" w:hAnsi="Times New Roman"/>
          <w:b w:val="false"/>
          <w:i w:val="false"/>
          <w:color w:val="000000"/>
          <w:sz w:val="21"/>
        </w:rPr>
        <w:t>[Filed ARC 7586B</w:t>
      </w:r>
      <w:r>
        <w:rPr>
          <w:rFonts w:ascii="Times New Roman" w:hAnsi="Times New Roman"/>
          <w:b w:val="false"/>
          <w:i w:val="false"/>
          <w:color w:val="000000"/>
          <w:sz w:val="21"/>
        </w:rPr>
        <w:t xml:space="preserve"> (Notice ARC 7165B, IAB 9/24/08)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8706B</w:t>
      </w:r>
      <w:r>
        <w:rPr>
          <w:rFonts w:ascii="Times New Roman" w:hAnsi="Times New Roman"/>
          <w:b w:val="false"/>
          <w:i w:val="false"/>
          <w:color w:val="000000"/>
          <w:sz w:val="21"/>
        </w:rPr>
        <w:t xml:space="preserve"> (Notice ARC 8334B, IAB 12/2/09)</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9171B</w:t>
      </w:r>
      <w:r>
        <w:rPr>
          <w:rFonts w:ascii="Times New Roman" w:hAnsi="Times New Roman"/>
          <w:b w:val="false"/>
          <w:i w:val="false"/>
          <w:color w:val="000000"/>
          <w:sz w:val="21"/>
        </w:rPr>
        <w:t xml:space="preserve"> (Notice ARC 8784B, IAB 6/2/10)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9239B</w:t>
      </w:r>
      <w:r>
        <w:rPr>
          <w:rFonts w:ascii="Times New Roman" w:hAnsi="Times New Roman"/>
          <w:b w:val="false"/>
          <w:i w:val="false"/>
          <w:color w:val="000000"/>
          <w:sz w:val="21"/>
        </w:rPr>
        <w:t xml:space="preserve"> (Notice ARC 8927B, IAB 7/14/10)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9768B</w:t>
      </w:r>
      <w:r>
        <w:rPr>
          <w:rFonts w:ascii="Times New Roman" w:hAnsi="Times New Roman"/>
          <w:b w:val="false"/>
          <w:i w:val="false"/>
          <w:color w:val="000000"/>
          <w:sz w:val="21"/>
        </w:rPr>
        <w:t xml:space="preserve"> (Notice ARC 9459B, IAB 4/20/11)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5189C</w:t>
      </w:r>
      <w:r>
        <w:rPr>
          <w:rFonts w:ascii="Times New Roman" w:hAnsi="Times New Roman"/>
          <w:b w:val="false"/>
          <w:i w:val="false"/>
          <w:color w:val="000000"/>
          <w:sz w:val="21"/>
        </w:rPr>
        <w:t xml:space="preserve"> (Notice ARC 4963C, IAB 3/11/20)</w:t>
      </w:r>
      <w:r>
        <w:rPr>
          <w:rFonts w:ascii="Times New Roman" w:hAnsi="Times New Roman"/>
          <w:b w:val="false"/>
          <w:i w:val="false"/>
          <w:color w:val="000000"/>
          <w:sz w:val="21"/>
        </w:rPr>
        <w:t>, IAB 9/23/20, effective 10/28/20]</w:t>
      </w:r>
    </w:p>
    <w:p>
      <w:pPr>
        <w:spacing w:before="0" w:after="0"/>
        <w:ind w:left="120"/>
        <w:jc w:val="center"/>
      </w:pPr>
      <w:r>
        <w:rPr>
          <w:rFonts w:ascii="Times New Roman" w:hAnsi="Times New Roman"/>
          <w:b w:val="false"/>
          <w:i w:val="false"/>
          <w:color w:val="000000"/>
          <w:sz w:val="21"/>
        </w:rPr>
        <w:t>[Filed ARC 5751C</w:t>
      </w:r>
      <w:r>
        <w:rPr>
          <w:rFonts w:ascii="Times New Roman" w:hAnsi="Times New Roman"/>
          <w:b w:val="false"/>
          <w:i w:val="false"/>
          <w:color w:val="000000"/>
          <w:sz w:val="21"/>
        </w:rPr>
        <w:t xml:space="preserve"> (Notice ARC 5367C,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8077C</w:t>
      </w:r>
      <w:r>
        <w:rPr>
          <w:rFonts w:ascii="Times New Roman" w:hAnsi="Times New Roman"/>
          <w:b w:val="false"/>
          <w:i w:val="false"/>
          <w:color w:val="000000"/>
          <w:sz w:val="21"/>
        </w:rPr>
        <w:t xml:space="preserve"> (Notice ARC 7297C,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1.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272C.pdf" Type="http://schemas.openxmlformats.org/officeDocument/2006/relationships/hyperlink" Id="rId8"/>
    <Relationship TargetMode="External" Target="https://www.legis.iowa.gov/docs/ico/chapter/148A.pdf" Type="http://schemas.openxmlformats.org/officeDocument/2006/relationships/hyperlink" Id="rId9"/>
    <Relationship TargetMode="External" Target="https://www.legis.iowa.gov/docs/ico/chapter/148B.pdf" Type="http://schemas.openxmlformats.org/officeDocument/2006/relationships/hyperlink" Id="rId10"/>
    <Relationship TargetMode="External" Target="https://www.legis.iowa.gov/docs/ico/chapter/148C.pdf" Type="http://schemas.openxmlformats.org/officeDocument/2006/relationships/hyperlink" Id="rId11"/>
    <Relationship TargetMode="External" Target="https://www.legis.iowa.gov/docs/ico/chapter/149.pdf" Type="http://schemas.openxmlformats.org/officeDocument/2006/relationships/hyperlink" Id="rId12"/>
    <Relationship TargetMode="External" Target="https://www.legis.iowa.gov/docs/ico/chapter/151.pdf" Type="http://schemas.openxmlformats.org/officeDocument/2006/relationships/hyperlink" Id="rId13"/>
    <Relationship TargetMode="External" Target="https://www.legis.iowa.gov/docs/ico/chapter/152A.pdf" Type="http://schemas.openxmlformats.org/officeDocument/2006/relationships/hyperlink" Id="rId14"/>
    <Relationship TargetMode="External" Target="https://www.legis.iowa.gov/docs/ico/chapter/152B.pdf" Type="http://schemas.openxmlformats.org/officeDocument/2006/relationships/hyperlink" Id="rId15"/>
    <Relationship TargetMode="External" Target="https://www.legis.iowa.gov/docs/ico/chapter/152C.pdf" Type="http://schemas.openxmlformats.org/officeDocument/2006/relationships/hyperlink" Id="rId16"/>
    <Relationship TargetMode="External" Target="https://www.legis.iowa.gov/docs/ico/chapter/152D.pdf" Type="http://schemas.openxmlformats.org/officeDocument/2006/relationships/hyperlink" Id="rId17"/>
    <Relationship TargetMode="External" Target="https://www.legis.iowa.gov/docs/ico/chapter/154.pdf" Type="http://schemas.openxmlformats.org/officeDocument/2006/relationships/hyperlink" Id="rId18"/>
    <Relationship TargetMode="External" Target="https://www.legis.iowa.gov/docs/ico/chapter/154A.pdf" Type="http://schemas.openxmlformats.org/officeDocument/2006/relationships/hyperlink" Id="rId19"/>
    <Relationship TargetMode="External" Target="https://www.legis.iowa.gov/docs/ico/chapter/154B.pdf" Type="http://schemas.openxmlformats.org/officeDocument/2006/relationships/hyperlink" Id="rId20"/>
    <Relationship TargetMode="External" Target="https://www.legis.iowa.gov/docs/ico/chapter/154C.pdf" Type="http://schemas.openxmlformats.org/officeDocument/2006/relationships/hyperlink" Id="rId21"/>
    <Relationship TargetMode="External" Target="https://www.legis.iowa.gov/docs/ico/chapter/154D.pdf" Type="http://schemas.openxmlformats.org/officeDocument/2006/relationships/hyperlink" Id="rId22"/>
    <Relationship TargetMode="External" Target="https://www.legis.iowa.gov/docs/ico/chapter/154E.pdf" Type="http://schemas.openxmlformats.org/officeDocument/2006/relationships/hyperlink" Id="rId23"/>
    <Relationship TargetMode="External" Target="https://www.legis.iowa.gov/docs/ico/chapter/155.pdf" Type="http://schemas.openxmlformats.org/officeDocument/2006/relationships/hyperlink" Id="rId24"/>
    <Relationship TargetMode="External" Target="https://www.legis.iowa.gov/docs/ico/chapter/156.pdf" Type="http://schemas.openxmlformats.org/officeDocument/2006/relationships/hyperlink" Id="rId25"/>
    <Relationship TargetMode="External" Target="https://www.legis.iowa.gov/docs/ico/chapter/157.pdf" Type="http://schemas.openxmlformats.org/officeDocument/2006/relationships/hyperlink" Id="rId26"/>
    <Relationship TargetMode="External" Target="https://www.legis.iowa.gov/docs/ico/chapter/147.pdf" Type="http://schemas.openxmlformats.org/officeDocument/2006/relationships/hyperlink" Id="rId27"/>
    <Relationship TargetMode="External" Target="https://www.legis.iowa.gov/docs/ico/chapter/21.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272C.pdf" Type="http://schemas.openxmlformats.org/officeDocument/2006/relationships/hyperlink" Id="rId30"/>
    <Relationship TargetMode="External" Target="https://www.legis.iowa.gov/docs/iac/chapter/481.506.pdf" Type="http://schemas.openxmlformats.org/officeDocument/2006/relationships/hyperlink" Id="rId31"/>
    <Relationship TargetMode="External" Target="https://www.legis.iowa.gov/docs/iac/chapter/481.506.pdf" Type="http://schemas.openxmlformats.org/officeDocument/2006/relationships/hyperlink" Id="rId32"/>
    <Relationship TargetMode="External" Target="https://www.legis.iowa.gov/docs/ico/chapter/272C.6.pdf" Type="http://schemas.openxmlformats.org/officeDocument/2006/relationships/hyperlink" Id="rId33"/>
    <Relationship TargetMode="External" Target="https://www.legis.iowa.gov/docs/ico/chapter/272C.6.pdf" Type="http://schemas.openxmlformats.org/officeDocument/2006/relationships/hyperlink" Id="rId34"/>
    <Relationship TargetMode="External" Target="https://www.legis.iowa.gov/docs/iac/rule/645.4.15.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21.pdf" Type="http://schemas.openxmlformats.org/officeDocument/2006/relationships/hyperlink" Id="rId37"/>
    <Relationship TargetMode="External" Target="https://www.legis.iowa.gov/docs/ico/chapter/147.pdf" Type="http://schemas.openxmlformats.org/officeDocument/2006/relationships/hyperlink" Id="rId38"/>
    <Relationship TargetMode="External" Target="https://www.legis.iowa.gov/docs/ico/chapter/252J.pdf" Type="http://schemas.openxmlformats.org/officeDocument/2006/relationships/hyperlink" Id="rId39"/>
    <Relationship TargetMode="External" Target="https://www.legis.iowa.gov/docs/ico/chapter/272C.pdf" Type="http://schemas.openxmlformats.org/officeDocument/2006/relationships/hyperlink" Id="rId40"/>
    <Relationship TargetMode="External" Target="https://www.legis.iowa.gov/docs/ico/chapter/272D.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