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HEALTH CARE FACILITIES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481—50.1</w:t>
      </w:r>
      <w:r>
        <w:rPr>
          <w:rFonts w:ascii="Times New Roman" w:hAnsi="Times New Roman"/>
          <w:b/>
          <w:i w:val="false"/>
          <w:color w:val="000000"/>
          <w:sz w:val="22"/>
        </w:rPr>
        <w:t xml:space="preserve">(10A) </w:t>
      </w:r>
      <w:r>
        <w:rPr>
          <w:rFonts w:ascii="Times New Roman" w:hAnsi="Times New Roman"/>
          <w:b/>
          <w:i w:val="false"/>
          <w:color w:val="000000"/>
          <w:sz w:val="22"/>
        </w:rPr>
        <w:t xml:space="preserve">Inspections. </w:t>
      </w:r>
      <w:r>
        <w:rPr>
          <w:rFonts w:ascii="Times New Roman" w:hAnsi="Times New Roman"/>
          <w:b w:val="false"/>
          <w:i w:val="false"/>
          <w:color w:val="000000"/>
          <w:sz w:val="22"/>
        </w:rPr>
        <w:t>The health facilities division inspects health care facilities, hospitals, and providers and suppliers of medical services in Iowa. Standards to obtain a license are explained in this chapter.</w:t>
      </w:r>
    </w:p>
    <w:p>
      <w:pPr>
        <w:spacing w:before="0" w:after="0"/>
        <w:ind w:left="120"/>
        <w:jc w:val="both"/>
      </w:pPr>
      <w:r>
        <w:rPr>
          <w:rFonts w:ascii="Times New Roman" w:hAnsi="Times New Roman"/>
          <w:b/>
          <w:i w:val="false"/>
          <w:color w:val="000000"/>
          <w:sz w:val="22"/>
        </w:rPr>
        <w:t>481—50.2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person coordinating the administration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health facilities division.</w:t>
      </w:r>
    </w:p>
    <w:p>
      <w:pPr>
        <w:spacing w:before="0" w:after="0"/>
        <w:ind w:left="120"/>
        <w:jc w:val="both"/>
      </w:pPr>
      <w:r>
        <w:rPr>
          <w:rFonts w:ascii="Times New Roman" w:hAnsi="Times New Roman"/>
          <w:b/>
          <w:i w:val="false"/>
          <w:color w:val="000000"/>
          <w:sz w:val="22"/>
        </w:rPr>
        <w:t>481—50.3</w:t>
      </w:r>
      <w:r>
        <w:rPr>
          <w:rFonts w:ascii="Times New Roman" w:hAnsi="Times New Roman"/>
          <w:b/>
          <w:i w:val="false"/>
          <w:color w:val="000000"/>
          <w:sz w:val="22"/>
        </w:rPr>
        <w:t xml:space="preserve">(135B,135C) </w:t>
      </w:r>
      <w:r>
        <w:rPr>
          <w:rFonts w:ascii="Times New Roman" w:hAnsi="Times New Roman"/>
          <w:b/>
          <w:i w:val="false"/>
          <w:color w:val="000000"/>
          <w:sz w:val="22"/>
        </w:rPr>
        <w:t xml:space="preserve">Licensing. </w:t>
      </w:r>
      <w:r>
        <w:rPr>
          <w:rFonts w:ascii="Times New Roman" w:hAnsi="Times New Roman"/>
          <w:b w:val="false"/>
          <w:i w:val="false"/>
          <w:color w:val="000000"/>
          <w:sz w:val="22"/>
        </w:rPr>
        <w:t>All hospitals and health care facilities shall be licensed by the department. Applications are available from the Health Facilities Division, Lucas State Office Building, Des Moines, Iowa 50319-0083. Completed applications are returned to the division with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val="false"/>
          <w:color w:val="000000"/>
          <w:sz w:val="22"/>
        </w:rPr>
        <w:t>Initial fees for hospitals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Fifty beds or less,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50 and not more than 100 beds,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greater number of beds, $50.</w:t>
      </w:r>
    </w:p>
    <w:p>
      <w:pPr>
        <w:spacing w:before="0" w:after="0"/>
        <w:ind w:left="120"/>
        <w:jc w:val="both"/>
      </w:pPr>
      <w:r>
        <w:rPr>
          <w:rFonts w:ascii="Times New Roman" w:hAnsi="Times New Roman"/>
          <w:b w:val="false"/>
          <w:i w:val="false"/>
          <w:color w:val="000000"/>
          <w:sz w:val="22"/>
        </w:rPr>
        <w:t>A fee of $10 is charged to renew a hospital license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val="false"/>
          <w:color w:val="000000"/>
          <w:sz w:val="22"/>
        </w:rPr>
        <w:t>Initial and renewal fees for health care facilities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Ten beds or less,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10 and not more than 25 beds,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More than 26 and not more than 75 beds,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More than 76 and not more than 150 beds, $80;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greater number of beds,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w:t>
      </w:r>
      <w:r>
        <w:rPr>
          <w:rFonts w:ascii="Times New Roman" w:hAnsi="Times New Roman"/>
          <w:b w:val="false"/>
          <w:i w:val="false"/>
          <w:color w:val="000000"/>
          <w:sz w:val="22"/>
        </w:rPr>
        <w:t> </w:t>
      </w:r>
      <w:r>
        <w:rPr>
          <w:rFonts w:ascii="Times New Roman" w:hAnsi="Times New Roman"/>
          <w:b w:val="false"/>
          <w:i w:val="false"/>
          <w:color w:val="000000"/>
          <w:sz w:val="22"/>
        </w:rPr>
        <w:t>Standards used to determine whether a license is granted or retained are found in the rules of the department of inspections and appeals in the Iowa Administrative Code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w:t>
      </w:r>
      <w:hyperlink r:id="rId5">
        <w:r>
          <w:rPr>
            <w:rStyle w:val="Hyperlink"/>
            <w:rFonts w:ascii="Times New Roman" w:hAnsi="Times New Roman"/>
            <w:b w:val="false"/>
            <w:i w:val="false"/>
            <w:color w:val="000000"/>
            <w:sz w:val="22"/>
          </w:rPr>
          <w:t>481—Chapter 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Hospices, </w:t>
      </w:r>
      <w:hyperlink r:id="rId6">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care facilities, </w:t>
      </w:r>
      <w:hyperlink r:id="rId7">
        <w:r>
          <w:rPr>
            <w:rStyle w:val="Hyperlink"/>
            <w:rFonts w:ascii="Times New Roman" w:hAnsi="Times New Roman"/>
            <w:b w:val="false"/>
            <w:i w:val="false"/>
            <w:color w:val="000000"/>
            <w:sz w:val="22"/>
          </w:rPr>
          <w:t>481—Chapters 57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w:t>
      </w:r>
      <w:hyperlink r:id="rId9">
        <w:r>
          <w:rPr>
            <w:rStyle w:val="Hyperlink"/>
            <w:rFonts w:ascii="Times New Roman" w:hAnsi="Times New Roman"/>
            <w:b w:val="false"/>
            <w:i w:val="false"/>
            <w:color w:val="000000"/>
            <w:sz w:val="22"/>
          </w:rPr>
          <w:t>481—Chapters 58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care facilities for persons with mental illness, </w:t>
      </w:r>
      <w:hyperlink r:id="rId11">
        <w:r>
          <w:rPr>
            <w:rStyle w:val="Hyperlink"/>
            <w:rFonts w:ascii="Times New Roman" w:hAnsi="Times New Roman"/>
            <w:b w:val="false"/>
            <w:i w:val="false"/>
            <w:color w:val="000000"/>
            <w:sz w:val="22"/>
          </w:rPr>
          <w:t>481—Chapters 60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care facilities, three- to five-bed license, </w:t>
      </w:r>
      <w:hyperlink r:id="rId13">
        <w:r>
          <w:rPr>
            <w:rStyle w:val="Hyperlink"/>
            <w:rFonts w:ascii="Times New Roman" w:hAnsi="Times New Roman"/>
            <w:b w:val="false"/>
            <w:i w:val="false"/>
            <w:color w:val="000000"/>
            <w:sz w:val="22"/>
          </w:rPr>
          <w:t>481—Chapter 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Intermediate care facilities for the intellectually disabled, </w:t>
      </w:r>
      <w:hyperlink r:id="rId14">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Intermediate care facilities for persons with mental illness, </w:t>
      </w:r>
      <w:hyperlink r:id="rId15">
        <w:r>
          <w:rPr>
            <w:rStyle w:val="Hyperlink"/>
            <w:rFonts w:ascii="Times New Roman" w:hAnsi="Times New Roman"/>
            <w:b w:val="false"/>
            <w:i w:val="false"/>
            <w:color w:val="000000"/>
            <w:sz w:val="22"/>
          </w:rPr>
          <w:t>481—Chapter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w:t>
      </w:r>
      <w:r>
        <w:rPr>
          <w:rFonts w:ascii="Times New Roman" w:hAnsi="Times New Roman"/>
          <w:b w:val="false"/>
          <w:i w:val="false"/>
          <w:color w:val="000000"/>
          <w:sz w:val="22"/>
        </w:rPr>
        <w:t> </w:t>
      </w:r>
      <w:r>
        <w:rPr>
          <w:rFonts w:ascii="Times New Roman" w:hAnsi="Times New Roman"/>
          <w:b w:val="false"/>
          <w:i w:val="false"/>
          <w:color w:val="000000"/>
          <w:sz w:val="22"/>
        </w:rPr>
        <w:t>Posting of license. The license shall be posted in each facility so the public can see it easily.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481—50.4</w:t>
      </w:r>
      <w:r>
        <w:rPr>
          <w:rFonts w:ascii="Times New Roman" w:hAnsi="Times New Roman"/>
          <w:b/>
          <w:i w:val="false"/>
          <w:color w:val="000000"/>
          <w:sz w:val="22"/>
        </w:rPr>
        <w:t xml:space="preserve">(135C) </w:t>
      </w:r>
      <w:r>
        <w:rPr>
          <w:rFonts w:ascii="Times New Roman" w:hAnsi="Times New Roman"/>
          <w:b/>
          <w:i w:val="false"/>
          <w:color w:val="000000"/>
          <w:sz w:val="22"/>
        </w:rPr>
        <w:t xml:space="preserve">Fines and citations. </w:t>
      </w:r>
      <w:r>
        <w:rPr>
          <w:rFonts w:ascii="Times New Roman" w:hAnsi="Times New Roman"/>
          <w:b w:val="false"/>
          <w:i w:val="false"/>
          <w:color w:val="000000"/>
          <w:sz w:val="22"/>
        </w:rPr>
        <w:t xml:space="preserve">A fine or citation will be issued and may be contested according to the rules in </w:t>
      </w:r>
      <w:hyperlink r:id="rId16">
        <w:r>
          <w:rPr>
            <w:rStyle w:val="Hyperlink"/>
            <w:rFonts w:ascii="Times New Roman" w:hAnsi="Times New Roman"/>
            <w:b w:val="false"/>
            <w:i w:val="false"/>
            <w:color w:val="000000"/>
            <w:sz w:val="22"/>
          </w:rPr>
          <w:t>481—Chapter 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481—50.5</w:t>
      </w:r>
      <w:r>
        <w:rPr>
          <w:rFonts w:ascii="Times New Roman" w:hAnsi="Times New Roman"/>
          <w:b/>
          <w:i w:val="false"/>
          <w:color w:val="000000"/>
          <w:sz w:val="22"/>
        </w:rPr>
        <w:t xml:space="preserve">(135C) </w:t>
      </w:r>
      <w:r>
        <w:rPr>
          <w:rFonts w:ascii="Times New Roman" w:hAnsi="Times New Roman"/>
          <w:b/>
          <w:i w:val="false"/>
          <w:color w:val="000000"/>
          <w:sz w:val="22"/>
        </w:rPr>
        <w:t xml:space="preserve">Denial,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w:t>
      </w:r>
      <w:r>
        <w:rPr>
          <w:rFonts w:ascii="Times New Roman" w:hAnsi="Times New Roman"/>
          <w:b w:val="false"/>
          <w:i w:val="false"/>
          <w:color w:val="000000"/>
          <w:sz w:val="22"/>
        </w:rPr>
        <w:t> </w:t>
      </w:r>
      <w:r>
        <w:rPr>
          <w:rFonts w:ascii="Times New Roman" w:hAnsi="Times New Roman"/>
          <w:b w:val="false"/>
          <w:i w:val="false"/>
          <w:color w:val="000000"/>
          <w:sz w:val="22"/>
        </w:rPr>
        <w:t>A denial, suspension or revocation shall be effective 30 days after certified mailing or personal service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w:t>
      </w:r>
      <w:r>
        <w:rPr>
          <w:rFonts w:ascii="Times New Roman" w:hAnsi="Times New Roman"/>
          <w:b w:val="false"/>
          <w:i w:val="false"/>
          <w:color w:val="000000"/>
          <w:sz w:val="22"/>
        </w:rPr>
        <w:t> </w:t>
      </w:r>
      <w:r>
        <w:rPr>
          <w:rFonts w:ascii="Times New Roman" w:hAnsi="Times New Roman"/>
          <w:b w:val="false"/>
          <w:i w:val="false"/>
          <w:color w:val="000000"/>
          <w:sz w:val="22"/>
        </w:rPr>
        <w:t>A hearing may be requested and the request must be made in writing to the department within 30 days of the mailing or service.</w:t>
      </w:r>
    </w:p>
    <w:p>
      <w:pPr>
        <w:spacing w:before="0" w:after="0"/>
        <w:ind w:left="120"/>
        <w:jc w:val="both"/>
      </w:pPr>
      <w:r>
        <w:rPr>
          <w:rFonts w:ascii="Times New Roman" w:hAnsi="Times New Roman"/>
          <w:b/>
          <w:i w:val="false"/>
          <w:color w:val="000000"/>
          <w:sz w:val="22"/>
        </w:rPr>
        <w:t>481—50.6</w:t>
      </w:r>
      <w:r>
        <w:rPr>
          <w:rFonts w:ascii="Times New Roman" w:hAnsi="Times New Roman"/>
          <w:b/>
          <w:i w:val="false"/>
          <w:color w:val="000000"/>
          <w:sz w:val="22"/>
        </w:rPr>
        <w:t xml:space="preserve">(10A) </w:t>
      </w:r>
      <w:r>
        <w:rPr>
          <w:rFonts w:ascii="Times New Roman" w:hAnsi="Times New Roman"/>
          <w:b/>
          <w:i w:val="false"/>
          <w:color w:val="000000"/>
          <w:sz w:val="22"/>
        </w:rPr>
        <w:t xml:space="preserve">Formal hearing. </w:t>
      </w:r>
      <w:r>
        <w:rPr>
          <w:rFonts w:ascii="Times New Roman" w:hAnsi="Times New Roman"/>
          <w:b w:val="false"/>
          <w:i w:val="false"/>
          <w:color w:val="000000"/>
          <w:sz w:val="22"/>
        </w:rPr>
        <w:t xml:space="preserve">All decisions of the division may be contested. Appeals and hearings are controlled by </w:t>
      </w:r>
      <w:hyperlink r:id="rId17">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“Contested Cases,” and </w:t>
      </w:r>
      <w:hyperlink r:id="rId18">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“Rules of Procedure and Practice Before the Administrative Hearings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of the hearing officer becomes final 15 days after it is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w:t>
      </w:r>
      <w:r>
        <w:rPr>
          <w:rFonts w:ascii="Times New Roman" w:hAnsi="Times New Roman"/>
          <w:b w:val="false"/>
          <w:i w:val="false"/>
          <w:color w:val="000000"/>
          <w:sz w:val="22"/>
        </w:rPr>
        <w:t> </w:t>
      </w:r>
      <w:r>
        <w:rPr>
          <w:rFonts w:ascii="Times New Roman" w:hAnsi="Times New Roman"/>
          <w:b w:val="false"/>
          <w:i w:val="false"/>
          <w:color w:val="000000"/>
          <w:sz w:val="22"/>
        </w:rPr>
        <w:t>Any request for administrative review of a proposed decision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made in writing,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mailed by certified mail to the director, within 15 days after the proposed decision was mailed to the aggrieved party,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the reason(s) for the request.</w:t>
      </w:r>
    </w:p>
    <w:p>
      <w:pPr>
        <w:spacing w:before="0" w:after="0"/>
        <w:ind w:left="120"/>
        <w:jc w:val="both"/>
      </w:pPr>
      <w:r>
        <w:rPr>
          <w:rFonts w:ascii="Times New Roman" w:hAnsi="Times New Roman"/>
          <w:b w:val="false"/>
          <w:i w:val="false"/>
          <w:color w:val="000000"/>
          <w:sz w:val="22"/>
        </w:rPr>
        <w:t>A copy shall also be sent to the hearing officer at the Department of Inspections and Appeals, Lucas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w:t>
      </w:r>
      <w:r>
        <w:rPr>
          <w:rFonts w:ascii="Times New Roman" w:hAnsi="Times New Roman"/>
          <w:b w:val="false"/>
          <w:i w:val="false"/>
          <w:color w:val="000000"/>
          <w:sz w:val="22"/>
        </w:rPr>
        <w:t> </w:t>
      </w:r>
      <w:r>
        <w:rPr>
          <w:rFonts w:ascii="Times New Roman" w:hAnsi="Times New Roman"/>
          <w:b w:val="false"/>
          <w:i w:val="false"/>
          <w:color w:val="000000"/>
          <w:sz w:val="22"/>
        </w:rPr>
        <w:t>The decision of the director shall be based upon the record and becomes final agency action upon mailing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50.6(4)</w:t>
      </w:r>
      <w:r>
        <w:rPr>
          <w:rFonts w:ascii="Times New Roman" w:hAnsi="Times New Roman"/>
          <w:b w:val="false"/>
          <w:i w:val="false"/>
          <w:color w:val="000000"/>
          <w:sz w:val="22"/>
        </w:rPr>
        <w:t> </w:t>
      </w:r>
      <w:r>
        <w:rPr>
          <w:rFonts w:ascii="Times New Roman" w:hAnsi="Times New Roman"/>
          <w:b w:val="false"/>
          <w:i w:val="false"/>
          <w:color w:val="000000"/>
          <w:sz w:val="22"/>
        </w:rPr>
        <w:t>The fees of witnesses for attendance and travel shall be the same as the fees for witnesses before the district court and shall be paid by the party to the proceeding at whose request the subpoena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w:t>
      </w:r>
      <w:r>
        <w:rPr>
          <w:rFonts w:ascii="Times New Roman" w:hAnsi="Times New Roman"/>
          <w:b/>
          <w:i w:val="false"/>
          <w:color w:val="000000"/>
          <w:sz w:val="22"/>
        </w:rPr>
        <w:t xml:space="preserve">(10A,135C) </w:t>
      </w:r>
      <w:r>
        <w:rPr>
          <w:rFonts w:ascii="Times New Roman" w:hAnsi="Times New Roman"/>
          <w:b/>
          <w:i w:val="false"/>
          <w:color w:val="000000"/>
          <w:sz w:val="22"/>
        </w:rPr>
        <w:t xml:space="preserve">Additional notification. </w:t>
      </w:r>
      <w:r>
        <w:rPr>
          <w:rFonts w:ascii="Times New Roman" w:hAnsi="Times New Roman"/>
          <w:b w:val="false"/>
          <w:i w:val="false"/>
          <w:color w:val="000000"/>
          <w:sz w:val="22"/>
        </w:rPr>
        <w:t>A health care facility shall notify the department within 24 hours, or the next business day, by the most expeditious means available (I,II,III):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w:t>
      </w:r>
      <w:r>
        <w:rPr>
          <w:rFonts w:ascii="Times New Roman" w:hAnsi="Times New Roman"/>
          <w:b w:val="false"/>
          <w:i w:val="false"/>
          <w:color w:val="000000"/>
          <w:sz w:val="22"/>
        </w:rPr>
        <w:t> </w:t>
      </w:r>
      <w:r>
        <w:rPr>
          <w:rFonts w:ascii="Times New Roman" w:hAnsi="Times New Roman"/>
          <w:b w:val="false"/>
          <w:i w:val="false"/>
          <w:color w:val="000000"/>
          <w:sz w:val="22"/>
        </w:rPr>
        <w:t>Of any accident causing major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“Major injury” shall be defined as any injury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admission to a higher level of care for treatment, other than for observation;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consultation with the attending physician, designee of the physician, or physician extender who determines, in writing on a form designated by the department, that an injury is a “major injury” based upon the circumstances of the accident, the previous functional ability of the resident, and the resident’s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not reportable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resident, as defined in rules </w:t>
      </w:r>
      <w:hyperlink r:id="rId19">
        <w:r>
          <w:rPr>
            <w:rStyle w:val="Hyperlink"/>
            <w:rFonts w:ascii="Times New Roman" w:hAnsi="Times New Roman"/>
            <w:b w:val="false"/>
            <w:i w:val="false"/>
            <w:color w:val="000000"/>
            <w:sz w:val="22"/>
          </w:rPr>
          <w:t>481—57.1</w:t>
        </w:r>
      </w:hyperlink>
      <w:r>
        <w:rPr>
          <w:rFonts w:ascii="Times New Roman" w:hAnsi="Times New Roman"/>
          <w:b w:val="false"/>
          <w:i w:val="false"/>
          <w:color w:val="000000"/>
          <w:sz w:val="22"/>
        </w:rPr>
        <w:t xml:space="preserve">(135C), </w:t>
      </w:r>
      <w:hyperlink r:id="rId20">
        <w:r>
          <w:rPr>
            <w:rStyle w:val="Hyperlink"/>
            <w:rFonts w:ascii="Times New Roman" w:hAnsi="Times New Roman"/>
            <w:b w:val="false"/>
            <w:i w:val="false"/>
            <w:color w:val="000000"/>
            <w:sz w:val="22"/>
          </w:rPr>
          <w:t>481—58.1</w:t>
        </w:r>
      </w:hyperlink>
      <w:r>
        <w:rPr>
          <w:rFonts w:ascii="Times New Roman" w:hAnsi="Times New Roman"/>
          <w:b w:val="false"/>
          <w:i w:val="false"/>
          <w:color w:val="000000"/>
          <w:sz w:val="22"/>
        </w:rPr>
        <w:t xml:space="preserve">(135C), and </w:t>
      </w:r>
      <w:hyperlink r:id="rId21">
        <w:r>
          <w:rPr>
            <w:rStyle w:val="Hyperlink"/>
            <w:rFonts w:ascii="Times New Roman" w:hAnsi="Times New Roman"/>
            <w:b w:val="false"/>
            <w:i w:val="false"/>
            <w:color w:val="000000"/>
            <w:sz w:val="22"/>
          </w:rPr>
          <w:t>481—63.1</w:t>
        </w:r>
      </w:hyperlink>
      <w:r>
        <w:rPr>
          <w:rFonts w:ascii="Times New Roman" w:hAnsi="Times New Roman"/>
          <w:b w:val="false"/>
          <w:i w:val="false"/>
          <w:color w:val="000000"/>
          <w:sz w:val="22"/>
        </w:rPr>
        <w:t>(135C), who falls when neither the facility nor its employees have culpability related to the fall, even if the resident sustains a major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Spontaneous fractures;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Hairline fractures.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w:t>
      </w:r>
      <w:r>
        <w:rPr>
          <w:rFonts w:ascii="Times New Roman" w:hAnsi="Times New Roman"/>
          <w:b w:val="false"/>
          <w:i w:val="false"/>
          <w:color w:val="000000"/>
          <w:sz w:val="22"/>
        </w:rPr>
        <w:t> </w:t>
      </w:r>
      <w:r>
        <w:rPr>
          <w:rFonts w:ascii="Times New Roman" w:hAnsi="Times New Roman"/>
          <w:b w:val="false"/>
          <w:i w:val="false"/>
          <w:color w:val="000000"/>
          <w:sz w:val="22"/>
        </w:rPr>
        <w:t>When damage to the facility is caused by a natural or other disaster, including physical impairments affecting operations (e.g., failure of a heating or cooling system, water heater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w:t>
      </w:r>
      <w:r>
        <w:rPr>
          <w:rFonts w:ascii="Times New Roman" w:hAnsi="Times New Roman"/>
          <w:b w:val="false"/>
          <w:i w:val="false"/>
          <w:color w:val="000000"/>
          <w:sz w:val="22"/>
        </w:rPr>
        <w:t> </w:t>
      </w:r>
      <w:r>
        <w:rPr>
          <w:rFonts w:ascii="Times New Roman" w:hAnsi="Times New Roman"/>
          <w:b w:val="false"/>
          <w:i w:val="false"/>
          <w:color w:val="000000"/>
          <w:sz w:val="22"/>
        </w:rPr>
        <w:t>When there is an act that causes major injury to a resident or when a facility has knowledge of a pattern of acts committed by the same resident on another resident that results in any physical injury. For the purposes of this subrule, “pattern” means two or more times within a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w:t>
      </w:r>
      <w:r>
        <w:rPr>
          <w:rFonts w:ascii="Times New Roman" w:hAnsi="Times New Roman"/>
          <w:b w:val="false"/>
          <w:i w:val="false"/>
          <w:color w:val="000000"/>
          <w:sz w:val="22"/>
        </w:rPr>
        <w:t> </w:t>
      </w:r>
      <w:r>
        <w:rPr>
          <w:rFonts w:ascii="Times New Roman" w:hAnsi="Times New Roman"/>
          <w:b w:val="false"/>
          <w:i w:val="false"/>
          <w:color w:val="000000"/>
          <w:sz w:val="22"/>
        </w:rPr>
        <w:t>When a resident elopes from a facility. For the purposes of this subrule, “elopes” means when a resident who has impaired decision-making ability leaves the facility without the knowledge or authorization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w:t>
      </w:r>
      <w:r>
        <w:rPr>
          <w:rFonts w:ascii="Times New Roman" w:hAnsi="Times New Roman"/>
          <w:b w:val="false"/>
          <w:i w:val="false"/>
          <w:color w:val="000000"/>
          <w:sz w:val="22"/>
        </w:rPr>
        <w:t> </w:t>
      </w:r>
      <w:r>
        <w:rPr>
          <w:rFonts w:ascii="Times New Roman" w:hAnsi="Times New Roman"/>
          <w:b w:val="false"/>
          <w:i w:val="false"/>
          <w:color w:val="000000"/>
          <w:sz w:val="22"/>
        </w:rPr>
        <w:t>When a resident attempts suicide, regardless of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w:t>
      </w:r>
      <w:r>
        <w:rPr>
          <w:rFonts w:ascii="Times New Roman" w:hAnsi="Times New Roman"/>
          <w:b w:val="false"/>
          <w:i w:val="false"/>
          <w:color w:val="000000"/>
          <w:sz w:val="22"/>
        </w:rPr>
        <w:t> </w:t>
      </w:r>
      <w:r>
        <w:rPr>
          <w:rFonts w:ascii="Times New Roman" w:hAnsi="Times New Roman"/>
          <w:b w:val="false"/>
          <w:i w:val="false"/>
          <w:color w:val="000000"/>
          <w:sz w:val="22"/>
        </w:rPr>
        <w:t>When a fire occurs in a facility and the fire requires the notification of emergency services, require full or partial evacuation of the facility, or causes physical injury to a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w:t>
      </w:r>
      <w:r>
        <w:rPr>
          <w:rFonts w:ascii="Times New Roman" w:hAnsi="Times New Roman"/>
          <w:b w:val="false"/>
          <w:i w:val="false"/>
          <w:color w:val="000000"/>
          <w:sz w:val="22"/>
        </w:rPr>
        <w:t> </w:t>
      </w:r>
      <w:r>
        <w:rPr>
          <w:rFonts w:ascii="Times New Roman" w:hAnsi="Times New Roman"/>
          <w:b w:val="false"/>
          <w:i w:val="false"/>
          <w:color w:val="000000"/>
          <w:sz w:val="22"/>
        </w:rPr>
        <w:t>When a defect or failure occurs in the fire sprinkler or fire alarm system for more than 4 hours in a 24-hour period. (This reporting requirement is in addition to the requirement to notify the state fire marshal.)</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Additional reporting requirements are created by other rules and statutes, including but not limited to Iowa Code chapter </w:t>
      </w:r>
      <w:hyperlink r:id="rId22">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which requires reporting of dependent adult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481—50.8</w:t>
      </w:r>
      <w:r>
        <w:rPr>
          <w:rFonts w:ascii="Times New Roman" w:hAnsi="Times New Roman"/>
          <w:b/>
          <w:i w:val="false"/>
          <w:color w:val="000000"/>
          <w:sz w:val="22"/>
        </w:rPr>
        <w:t xml:space="preserve">(22,135B,135C)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The division collects and stores a variety of records in the course of licensing and inspecting hospitals and health care facilities, as described in </w:t>
      </w:r>
      <w:hyperlink r:id="rId23">
        <w:r>
          <w:rPr>
            <w:rStyle w:val="Hyperlink"/>
            <w:rFonts w:ascii="Times New Roman" w:hAnsi="Times New Roman"/>
            <w:b w:val="false"/>
            <w:i w:val="false"/>
            <w:color w:val="000000"/>
            <w:sz w:val="22"/>
          </w:rPr>
          <w:t>481—Chapter 5</w:t>
        </w:r>
      </w:hyperlink>
      <w:r>
        <w:rPr>
          <w:rFonts w:ascii="Times New Roman" w:hAnsi="Times New Roman"/>
          <w:b w:val="false"/>
          <w:i w:val="false"/>
          <w:color w:val="000000"/>
          <w:sz w:val="22"/>
        </w:rPr>
        <w:t>. The records contain both public and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The following are general categories of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department’s final findings or the final findings of an accreditation organization with respect to compliance by a hospital or health care facility with requirements for licensing or accreditation, including any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licensing or certification, accompanying materials, and status of any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Reports from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complaints, unless otherwise confidential pursuant to </w:t>
      </w:r>
      <w:hyperlink r:id="rId24">
        <w:r>
          <w:rPr>
            <w:rStyle w:val="Hyperlink"/>
            <w:rFonts w:ascii="Times New Roman" w:hAnsi="Times New Roman"/>
            <w:b w:val="false"/>
            <w:i w:val="false"/>
            <w:color w:val="000000"/>
            <w:sz w:val="22"/>
          </w:rPr>
          <w:t>subrule 50.8(2)</w:t>
        </w:r>
      </w:hyperlink>
      <w:r>
        <w:rPr>
          <w:rFonts w:ascii="Times New Roman" w:hAnsi="Times New Roman"/>
          <w:b w:val="false"/>
          <w:i w:val="false"/>
          <w:color w:val="000000"/>
          <w:sz w:val="22"/>
        </w:rPr>
        <w:t xml:space="preserve"> or Iowa Code section </w:t>
      </w:r>
      <w:hyperlink r:id="rId2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Waiver requests and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Official notices of licensing or certification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The following are general categories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that does not comprise a final report resulting from a survey, investigation, or entity-reported incident investigation, except as set forth in Iowa Code section </w:t>
      </w:r>
      <w:hyperlink r:id="rId26">
        <w:r>
          <w:rPr>
            <w:rStyle w:val="Hyperlink"/>
            <w:rFonts w:ascii="Times New Roman" w:hAnsi="Times New Roman"/>
            <w:b w:val="false"/>
            <w:i w:val="false"/>
            <w:color w:val="000000"/>
            <w:sz w:val="22"/>
          </w:rPr>
          <w:t>135B.12</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135C.19(1)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of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patients or residents and any identifying medical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anyone other than an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shall be redacted before the records are provided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481—50.9</w:t>
      </w:r>
      <w:r>
        <w:rPr>
          <w:rFonts w:ascii="Times New Roman" w:hAnsi="Times New Roman"/>
          <w:b/>
          <w:i w:val="false"/>
          <w:color w:val="000000"/>
          <w:sz w:val="22"/>
        </w:rPr>
        <w:t xml:space="preserve">(135C) </w:t>
      </w:r>
      <w:r>
        <w:rPr>
          <w:rFonts w:ascii="Times New Roman" w:hAnsi="Times New Roman"/>
          <w:b/>
          <w:i w:val="false"/>
          <w:color w:val="000000"/>
          <w:sz w:val="22"/>
        </w:rPr>
        <w:t xml:space="preserve">Criminal, dependent adult abuse, and child abuse 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“record check” </w:t>
      </w:r>
      <w:r>
        <w:rPr>
          <w:rFonts w:ascii="Times New Roman" w:hAnsi="Times New Roman"/>
          <w:b w:val="false"/>
          <w:i w:val="false"/>
          <w:color w:val="000000"/>
          <w:sz w:val="22"/>
        </w:rPr>
        <w:t>means criminal history, child abuse and dependent adult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nurse aide training program” </w:t>
      </w:r>
      <w:r>
        <w:rPr>
          <w:rFonts w:ascii="Times New Roman" w:hAnsi="Times New Roman"/>
          <w:b w:val="false"/>
          <w:i w:val="false"/>
          <w:color w:val="000000"/>
          <w:sz w:val="22"/>
        </w:rPr>
        <w:t xml:space="preserve">means a program approved in accordance with the rules for such programs adopted by the department of human services for the training of persons seeking to be a certified nurse aide for employment in a facility as defined by this rule or in a hospital as defined in Iowa Code section </w:t>
      </w:r>
      <w:hyperlink r:id="rId28">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preliminary background check” </w:t>
      </w:r>
      <w:r>
        <w:rPr>
          <w:rFonts w:ascii="Times New Roman" w:hAnsi="Times New Roman"/>
          <w:b w:val="false"/>
          <w:i w:val="false"/>
          <w:color w:val="000000"/>
          <w:sz w:val="22"/>
        </w:rPr>
        <w:t>means a criminal history check of all states in which the applicant has worked or resided over the seven-year period immediately prior to submitting an application for employment or participation in a certified nurse aide training program that is conducted by an approved third-party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services” </w:t>
      </w:r>
      <w:r>
        <w:rPr>
          <w:rFonts w:ascii="Times New Roman" w:hAnsi="Times New Roman"/>
          <w:b w:val="false"/>
          <w:i w:val="false"/>
          <w:color w:val="000000"/>
          <w:sz w:val="22"/>
        </w:rPr>
        <w:t>means services provided through person-to-person contact. “Direct services” excludes services provided by individuals such as building contractors, repair workers, or others who are in a facility for a very limited purpose, are not in the facility on a regular basis, and who do not provide any treatment or services for residents, patients, tenants, or participants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“Employed in a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“employment within a facility” </w:t>
      </w:r>
      <w:r>
        <w:rPr>
          <w:rFonts w:ascii="Times New Roman" w:hAnsi="Times New Roman"/>
          <w:b w:val="false"/>
          <w:i w:val="false"/>
          <w:color w:val="000000"/>
          <w:sz w:val="22"/>
        </w:rPr>
        <w:t xml:space="preserve">means all of the following if the provider is regulated by the state or receives any federal or state funding: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employee of a health care facility licensed under Iowa Code chapter </w:t>
      </w:r>
      <w:hyperlink r:id="rId2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if the employee provides direct or indirect services to residents;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employee of a home health agency if the employee provides direct services to consumers;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employee of a hospice if the employee provides direct services to consumers;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health care employment agency worker as defined by Iowa Code section </w:t>
      </w:r>
      <w:hyperlink r:id="rId30">
        <w:r>
          <w:rPr>
            <w:rStyle w:val="Hyperlink"/>
            <w:rFonts w:ascii="Times New Roman" w:hAnsi="Times New Roman"/>
            <w:b w:val="false"/>
            <w:i w:val="false"/>
            <w:color w:val="000000"/>
            <w:sz w:val="22"/>
          </w:rPr>
          <w:t>135Q.1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individual who is paid either by the facility or any other entity (i.e., health care employment agency, private duty, Medicare/Medicaid or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means review by the department of human services to determine whether a founded child abuse, dependent adult abuse or criminal conviction warrants prohibition of the person’s employment in a facility; or whether a founded child abuse, dependent adult abuse or criminal conviction warrants prohibition of a student’s involvement in a clinical education component of the certified nurse aide training program involving children or dependent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for purposes of this rule, means all of the following if the provider is regulated by the state or receives any federal or state funding: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health care facility licensed under Iowa Code chapter </w:t>
      </w:r>
      <w:hyperlink r:id="rId31">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home health agency;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services” </w:t>
      </w:r>
      <w:r>
        <w:rPr>
          <w:rFonts w:ascii="Times New Roman" w:hAnsi="Times New Roman"/>
          <w:b w:val="false"/>
          <w:i w:val="false"/>
          <w:color w:val="000000"/>
          <w:sz w:val="22"/>
        </w:rPr>
        <w:t>means services provided without person-to-person contact such as those provided by administration, dietary, laundry,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person applying for, enrolled in, or returning to a certified nurse aide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50.9(2)</w:t>
      </w:r>
      <w:r>
        <w:rPr>
          <w:rFonts w:ascii="Times New Roman" w:hAnsi="Times New Roman"/>
          <w:b w:val="false"/>
          <w:i w:val="false"/>
          <w:color w:val="000000"/>
          <w:sz w:val="22"/>
        </w:rPr>
        <w:t> </w:t>
      </w:r>
      <w:r>
        <w:rPr>
          <w:rFonts w:ascii="Times New Roman" w:hAnsi="Times New Roman"/>
          <w:b w:val="false"/>
          <w:i/>
          <w:color w:val="000000"/>
          <w:sz w:val="22"/>
        </w:rPr>
        <w:t xml:space="preserve">Explanation of “crime.” </w:t>
      </w:r>
      <w:r>
        <w:rPr>
          <w:rFonts w:ascii="Times New Roman" w:hAnsi="Times New Roman"/>
          <w:b w:val="false"/>
          <w:i w:val="false"/>
          <w:color w:val="000000"/>
          <w:sz w:val="22"/>
        </w:rPr>
        <w:t xml:space="preserve">For purposes of this rule, the term “crime” does not include offenses under Iowa Code chapter </w:t>
      </w:r>
      <w:hyperlink r:id="rId32">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classified as simple misdemeanor or equivalent simple misdemeanor offenses from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employer prior to employing an individual. </w:t>
      </w:r>
      <w:r>
        <w:rPr>
          <w:rFonts w:ascii="Times New Roman" w:hAnsi="Times New Roman"/>
          <w:b w:val="false"/>
          <w:i w:val="false"/>
          <w:color w:val="000000"/>
          <w:sz w:val="22"/>
        </w:rPr>
        <w:t>Prior to employment of a person in a facility, the facility shall complete the background check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Informing the prospective employee. </w:t>
      </w:r>
      <w:r>
        <w:rPr>
          <w:rFonts w:ascii="Times New Roman" w:hAnsi="Times New Roman"/>
          <w:b w:val="false"/>
          <w:i w:val="false"/>
          <w:color w:val="000000"/>
          <w:sz w:val="22"/>
        </w:rPr>
        <w:t xml:space="preserve">A facility shall ask each person seeking employment by the facility, “Do you have a record of founded child or dependent adult abuse or have you ever been convicted of a crime other than a simple misdemeanor offense relating to motor vehicles and laws of the road under Iowa Code chapter </w:t>
      </w:r>
      <w:hyperlink r:id="rId3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equivalent provisions, in this state or any other state?” In addition, the person shall be informed that a background check will be conducted. The person shall indicate, by signature, that the person has been informed that the background check will be conducted.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Conducting a background check. </w:t>
      </w:r>
      <w:r>
        <w:rPr>
          <w:rFonts w:ascii="Times New Roman" w:hAnsi="Times New Roman"/>
          <w:b w:val="false"/>
          <w:i w:val="false"/>
          <w:color w:val="000000"/>
          <w:sz w:val="22"/>
        </w:rPr>
        <w:t>The facility shall either request that the department of public safety perform a criminal history check and that the department of human services perform child and dependent adult abuse record checks of the person in this state, or access the single contact repository (SING) to perform the required background check. If the SING is used, the facility shall submit the person’s prior name(s), if applicable, with the background check request.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If a person being considered for employment has been convicted of a crime. </w:t>
      </w:r>
      <w:r>
        <w:rPr>
          <w:rFonts w:ascii="Times New Roman" w:hAnsi="Times New Roman"/>
          <w:b w:val="false"/>
          <w:i w:val="false"/>
          <w:color w:val="000000"/>
          <w:sz w:val="22"/>
        </w:rPr>
        <w:t>If a person being considered for employment in a facility has been convicted of a crime under a law of any state, the facility shall request that the department of human services perform an evaluation to determine whether the crime warrants prohibition of the person’s employment in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If a person being considered for employment has a record of founded child or dependent adult abuse. </w:t>
      </w:r>
      <w:r>
        <w:rPr>
          <w:rFonts w:ascii="Times New Roman" w:hAnsi="Times New Roman"/>
          <w:b w:val="false"/>
          <w:i w:val="false"/>
          <w:color w:val="000000"/>
          <w:sz w:val="22"/>
        </w:rPr>
        <w:t>If a person being considered for employment in a facility has a record of founded child or dependent adult abuse under a law of any state, the facility shall request that the department of human services perform an evaluation to determine whether the founded child or dependent adult abuse warrants prohibition of the person’s employment in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Employment pending evaluation. </w:t>
      </w:r>
      <w:r>
        <w:rPr>
          <w:rFonts w:ascii="Times New Roman" w:hAnsi="Times New Roman"/>
          <w:b w:val="false"/>
          <w:i w:val="false"/>
          <w:color w:val="000000"/>
          <w:sz w:val="22"/>
        </w:rPr>
        <w:t>The facility may provisionally employ a person prior to completion of the required record check and evaluation by the department of human services, as applicable,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accessed SING to perform the required record check and be awaiting results from SING or awaiting evaluation by the department of human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facility shall request an evaluation by the department of human services in accordance with </w:t>
      </w:r>
      <w:hyperlink r:id="rId34">
        <w:r>
          <w:rPr>
            <w:rStyle w:val="Hyperlink"/>
            <w:rFonts w:ascii="Times New Roman" w:hAnsi="Times New Roman"/>
            <w:b w:val="false"/>
            <w:i w:val="false"/>
            <w:color w:val="000000"/>
            <w:sz w:val="22"/>
          </w:rPr>
          <w:t>paragraph 50.9(3)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within 30 days of receipt of the SING record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utilized an approved third-party vendor to perform a comprehensive preliminary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comprehensive preliminary background check determines that the person being considered for employment has been convicted of a crime, the crime does not constitute a felony as defined in Iowa Code section </w:t>
      </w:r>
      <w:hyperlink r:id="rId35">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and is not a crime specified pursuant to Iowa Code chapter </w:t>
      </w:r>
      <w:hyperlink r:id="rId36">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708A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709A</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710</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710A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711</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 xml:space="preserve"> or pursuant to Iowa Code section </w:t>
      </w:r>
      <w:hyperlink r:id="rId44">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726.7</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726.8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comprehensive preliminary background check shall have determined that the person being considered for employment does not have a record of founded child abuse or dependent adult abuse, or, if the person being considered for employment does have a record of founded child abuse or dependent adult abuse, </w:t>
      </w:r>
      <w:hyperlink r:id="rId47">
        <w:r>
          <w:rPr>
            <w:rStyle w:val="Hyperlink"/>
            <w:rFonts w:ascii="Times New Roman" w:hAnsi="Times New Roman"/>
            <w:b w:val="false"/>
            <w:i w:val="false"/>
            <w:color w:val="000000"/>
            <w:sz w:val="22"/>
          </w:rPr>
          <w:t>subrule 50.9(8)</w:t>
        </w:r>
      </w:hyperlink>
      <w:r>
        <w:rPr>
          <w:rFonts w:ascii="Times New Roman" w:hAnsi="Times New Roman"/>
          <w:b w:val="false"/>
          <w:i w:val="false"/>
          <w:color w:val="000000"/>
          <w:sz w:val="22"/>
        </w:rPr>
        <w:t xml:space="preserve"> is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provisional employment may continue until such time as the required record check through SING and evaluation by the department of human services, as applicable, are completed.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50.9(4)</w:t>
      </w:r>
      <w:r>
        <w:rPr>
          <w:rFonts w:ascii="Times New Roman" w:hAnsi="Times New Roman"/>
          <w:b w:val="false"/>
          <w:i w:val="false"/>
          <w:color w:val="000000"/>
          <w:sz w:val="22"/>
        </w:rPr>
        <w:t> </w:t>
      </w:r>
      <w:r>
        <w:rPr>
          <w:rFonts w:ascii="Times New Roman" w:hAnsi="Times New Roman"/>
          <w:b w:val="false"/>
          <w:i/>
          <w:color w:val="000000"/>
          <w:sz w:val="22"/>
        </w:rPr>
        <w:t xml:space="preserve">Validity of background check results. </w:t>
      </w:r>
      <w:r>
        <w:rPr>
          <w:rFonts w:ascii="Times New Roman" w:hAnsi="Times New Roman"/>
          <w:b w:val="false"/>
          <w:i w:val="false"/>
          <w:color w:val="000000"/>
          <w:sz w:val="22"/>
        </w:rPr>
        <w:t>The results of a background check conducted pursuant to this rule shall be valid for a period of 30 calendar days from the date the results of the background check are received by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50.9(5)</w:t>
      </w:r>
      <w:r>
        <w:rPr>
          <w:rFonts w:ascii="Times New Roman" w:hAnsi="Times New Roman"/>
          <w:b w:val="false"/>
          <w:i w:val="false"/>
          <w:color w:val="000000"/>
          <w:sz w:val="22"/>
        </w:rPr>
        <w:t> </w:t>
      </w:r>
      <w:r>
        <w:rPr>
          <w:rFonts w:ascii="Times New Roman" w:hAnsi="Times New Roman"/>
          <w:b w:val="false"/>
          <w:i/>
          <w:color w:val="000000"/>
          <w:sz w:val="22"/>
        </w:rPr>
        <w:t xml:space="preserve">Employment prohibition. </w:t>
      </w:r>
      <w:r>
        <w:rPr>
          <w:rFonts w:ascii="Times New Roman" w:hAnsi="Times New Roman"/>
          <w:b w:val="false"/>
          <w:i w:val="false"/>
          <w:color w:val="000000"/>
          <w:sz w:val="22"/>
        </w:rPr>
        <w:t xml:space="preserve">Except as provided in </w:t>
      </w:r>
      <w:hyperlink r:id="rId48">
        <w:r>
          <w:rPr>
            <w:rStyle w:val="Hyperlink"/>
            <w:rFonts w:ascii="Times New Roman" w:hAnsi="Times New Roman"/>
            <w:b w:val="false"/>
            <w:i w:val="false"/>
            <w:color w:val="000000"/>
            <w:sz w:val="22"/>
          </w:rPr>
          <w:t>paragraph 50.9(3)</w:t>
        </w:r>
      </w:hyperlink>
      <w:r>
        <w:rPr>
          <w:rFonts w:ascii="Times New Roman" w:hAnsi="Times New Roman"/>
          <w:b w:val="false"/>
          <w:i/>
          <w:color w:val="000000"/>
          <w:sz w:val="22"/>
        </w:rPr>
        <w:t>“e,”</w:t>
      </w:r>
      <w:r>
        <w:rPr>
          <w:rFonts w:ascii="Times New Roman" w:hAnsi="Times New Roman"/>
          <w:b w:val="false"/>
          <w:i w:val="false"/>
          <w:color w:val="000000"/>
          <w:sz w:val="22"/>
        </w:rPr>
        <w:t xml:space="preserve"> a person who has committed a crime or has a record of founded child or dependent adult abuse shall not be employed in a facility unless an evaluation has been performed by the department of human services.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50.9(6)</w:t>
      </w:r>
      <w:r>
        <w:rPr>
          <w:rFonts w:ascii="Times New Roman" w:hAnsi="Times New Roman"/>
          <w:b w:val="false"/>
          <w:i w:val="false"/>
          <w:color w:val="000000"/>
          <w:sz w:val="22"/>
        </w:rPr>
        <w:t> </w:t>
      </w:r>
      <w:r>
        <w:rPr>
          <w:rFonts w:ascii="Times New Roman" w:hAnsi="Times New Roman"/>
          <w:b w:val="false"/>
          <w:i/>
          <w:color w:val="000000"/>
          <w:sz w:val="22"/>
        </w:rPr>
        <w:t xml:space="preserve">Transfer of an employee to another facility owned or operated by the same person. </w:t>
      </w:r>
      <w:r>
        <w:rPr>
          <w:rFonts w:ascii="Times New Roman" w:hAnsi="Times New Roman"/>
          <w:b w:val="false"/>
          <w:i w:val="false"/>
          <w:color w:val="000000"/>
          <w:sz w:val="22"/>
        </w:rPr>
        <w:t>If an employee transfers from one facility to another facility owned or operated by the same person, without a lapse in employment, the facility is not required to request additional criminal and child and dependent adult abuse record checks of that employee.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50.9(7)</w:t>
      </w:r>
      <w:r>
        <w:rPr>
          <w:rFonts w:ascii="Times New Roman" w:hAnsi="Times New Roman"/>
          <w:b w:val="false"/>
          <w:i w:val="false"/>
          <w:color w:val="000000"/>
          <w:sz w:val="22"/>
        </w:rPr>
        <w:t> </w:t>
      </w:r>
      <w:r>
        <w:rPr>
          <w:rFonts w:ascii="Times New Roman" w:hAnsi="Times New Roman"/>
          <w:b w:val="false"/>
          <w:i/>
          <w:color w:val="000000"/>
          <w:sz w:val="22"/>
        </w:rPr>
        <w:t xml:space="preserve">Transfer of ownership of a facility. </w:t>
      </w:r>
      <w:r>
        <w:rPr>
          <w:rFonts w:ascii="Times New Roman" w:hAnsi="Times New Roman"/>
          <w:b w:val="false"/>
          <w:i w:val="false"/>
          <w:color w:val="000000"/>
          <w:sz w:val="22"/>
        </w:rPr>
        <w:t>If the ownership of a facility is transferred, at the time of transfer the background check required by this rule shall be performed for each employee for whom there is no documentation that such background check has been performed. The facility may continue to employ such employee pending the performance of the background check and any related evaluation.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50.9(8)</w:t>
      </w:r>
      <w:r>
        <w:rPr>
          <w:rFonts w:ascii="Times New Roman" w:hAnsi="Times New Roman"/>
          <w:b w:val="false"/>
          <w:i w:val="false"/>
          <w:color w:val="000000"/>
          <w:sz w:val="22"/>
        </w:rPr>
        <w:t> </w:t>
      </w:r>
      <w:r>
        <w:rPr>
          <w:rFonts w:ascii="Times New Roman" w:hAnsi="Times New Roman"/>
          <w:b w:val="false"/>
          <w:i/>
          <w:color w:val="000000"/>
          <w:sz w:val="22"/>
        </w:rPr>
        <w:t xml:space="preserve">Change of employment—person with criminal or abuse record—exception to record check evaluation requirements. </w:t>
      </w:r>
      <w:r>
        <w:rPr>
          <w:rFonts w:ascii="Times New Roman" w:hAnsi="Times New Roman"/>
          <w:b w:val="false"/>
          <w:i w:val="false"/>
          <w:color w:val="000000"/>
          <w:sz w:val="22"/>
        </w:rPr>
        <w:t>A person with a criminal or abuse record who is or was employed by a facility and is hired by another facility shall be subject to the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reevaluation of the latest record check is not required, and the person may commence employment with the other facility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previously performed an evaluation concerning the person’s criminal or abuse record and concluded the record did not warrant prohibition of the person’s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latest background check does not indicate a crime was committed or founded abuse record was entered subsequent to the previous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restrictions placed on the person’s employment in the previous evaluation by the department of human services and still applicable shall remain applicable in the person’s subsequent employment;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background check has maintained a copy of the previous evaluation and provided it to the subsequent employer, or the previous employer provides the previous evaluation from the person’s personnel file pursuant to the person’s authorization. If a physical copy of the previous evaluation is not provided to the subsequent employer, a current record check evaluation shall be performed.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 position is “substantially the same or has the same job responsibilities” if the position requires the same certification, licensure, or advanced training. For example, a licensed nurse has substantially the same or the same job responsibilities as a director of nursing; a certified nurse aide does not have substantially the same or the same job responsibilities as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must maintain the previous evaluation in the employee’s personnel file for verification of the exception to the requirement for a record check evaluation.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subsequent employer may request a reevaluation of the background check and may employ the person while the reevaluation is being performed, even though an exemption under paragraph </w:t>
      </w:r>
      <w:hyperlink r:id="rId49">
        <w:r>
          <w:rPr>
            <w:rStyle w:val="Hyperlink"/>
            <w:rFonts w:ascii="Times New Roman" w:hAnsi="Times New Roman"/>
            <w:b w:val="false"/>
            <w:i w:val="false"/>
            <w:color w:val="000000"/>
            <w:sz w:val="22"/>
          </w:rPr>
          <w:t>50.9(8)</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50.9(9)</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of criminal conviction or founded abuse after employment. </w:t>
      </w:r>
      <w:r>
        <w:rPr>
          <w:rFonts w:ascii="Times New Roman" w:hAnsi="Times New Roman"/>
          <w:b w:val="false"/>
          <w:i w:val="false"/>
          <w:color w:val="000000"/>
          <w:sz w:val="22"/>
        </w:rPr>
        <w:t>If a person employed by a facility employer that is subject to this rule is convicted of a crime or has a record of founded child or dependent adult abuse entered in the abuse registry after the person’s employment application date, the person shall inform the employer of such information within 48 hours of the criminal conviction or entry of the record of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shall act to verify the information within seven calendar days of notification. “Verify,” for purposes of this subrule, means to access the single contact repository (SING) to perform a background check, to request a criminal background check from the department of public safety, to request an abuse record check from the department of human services, to conduct an online search through the Iowa Courts Online website, or to contact the county clerk of court office and obtain a copy of relevant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facility shall follow the requirements of paragraphs </w:t>
      </w:r>
      <w:hyperlink r:id="rId50">
        <w:r>
          <w:rPr>
            <w:rStyle w:val="Hyperlink"/>
            <w:rFonts w:ascii="Times New Roman" w:hAnsi="Times New Roman"/>
            <w:b w:val="false"/>
            <w:i w:val="false"/>
            <w:color w:val="000000"/>
            <w:sz w:val="22"/>
          </w:rPr>
          <w:t>50.9(3)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may continue to employ the person pending the performance of an evaluation by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required by this subrule to inform the person’s employer of a conviction or entry of an abuse record and fails to do so within the required period commits a serious misdemeanor under Iowa Code section </w:t>
      </w:r>
      <w:hyperlink r:id="rId51">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may notify the county attorney for the county where the employer is located of any violation or failure by an employee to notify the employer of a criminal conviction or entry of an abuse record within the period required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50.9(10)</w:t>
      </w:r>
      <w:r>
        <w:rPr>
          <w:rFonts w:ascii="Times New Roman" w:hAnsi="Times New Roman"/>
          <w:b w:val="false"/>
          <w:i w:val="false"/>
          <w:color w:val="000000"/>
          <w:sz w:val="22"/>
        </w:rPr>
        <w:t> </w:t>
      </w:r>
      <w:r>
        <w:rPr>
          <w:rFonts w:ascii="Times New Roman" w:hAnsi="Times New Roman"/>
          <w:b w:val="false"/>
          <w:i/>
          <w:color w:val="000000"/>
          <w:sz w:val="22"/>
        </w:rPr>
        <w:t xml:space="preserve">Facility receipt of credible information that an employee has been convicted of a crime or has a record of founded abuse. </w:t>
      </w:r>
      <w:r>
        <w:rPr>
          <w:rFonts w:ascii="Times New Roman" w:hAnsi="Times New Roman"/>
          <w:b w:val="false"/>
          <w:i w:val="false"/>
          <w:color w:val="000000"/>
          <w:sz w:val="22"/>
        </w:rPr>
        <w:t xml:space="preserve">If the facility receives credible information, as determined by the facility, from someone other than the employee, that the employee has been convicted of a crime or a record of founded child or dependent adult abuse has been entered in the abuse registry after employment, and the employee has not informed the employer of the information within the time required by subrule </w:t>
      </w:r>
      <w:hyperlink r:id="rId52">
        <w:r>
          <w:rPr>
            <w:rStyle w:val="Hyperlink"/>
            <w:rFonts w:ascii="Times New Roman" w:hAnsi="Times New Roman"/>
            <w:b w:val="false"/>
            <w:i w:val="false"/>
            <w:color w:val="000000"/>
            <w:sz w:val="22"/>
          </w:rPr>
          <w:t>50.9(9)</w:t>
        </w:r>
      </w:hyperlink>
      <w:r>
        <w:rPr>
          <w:rFonts w:ascii="Times New Roman" w:hAnsi="Times New Roman"/>
          <w:b w:val="false"/>
          <w:i w:val="false"/>
          <w:color w:val="000000"/>
          <w:sz w:val="22"/>
        </w:rPr>
        <w:t>, the facility shall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act to verify credible information within seven calendar days of receipt. “Verify,” for purposes of this subrule, means to access the single contact repository (SING) to perform a background check, to request a criminal background check from the department of public safety, to request an abuse record check from the department of human services, to conduct an online search through the Iowa Courts Online website, or to contact the county clerk of court office and obtain a copy of relevant court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facility shall follow the requirements of paragraphs </w:t>
      </w:r>
      <w:hyperlink r:id="rId53">
        <w:r>
          <w:rPr>
            <w:rStyle w:val="Hyperlink"/>
            <w:rFonts w:ascii="Times New Roman" w:hAnsi="Times New Roman"/>
            <w:b w:val="false"/>
            <w:i w:val="false"/>
            <w:color w:val="000000"/>
            <w:sz w:val="22"/>
          </w:rPr>
          <w:t>50.9(3)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50.9(11)</w:t>
      </w:r>
      <w:r>
        <w:rPr>
          <w:rFonts w:ascii="Times New Roman" w:hAnsi="Times New Roman"/>
          <w:b w:val="false"/>
          <w:i w:val="false"/>
          <w:color w:val="000000"/>
          <w:sz w:val="22"/>
        </w:rPr>
        <w:t> </w:t>
      </w:r>
      <w:r>
        <w:rPr>
          <w:rFonts w:ascii="Times New Roman" w:hAnsi="Times New Roman"/>
          <w:b w:val="false"/>
          <w:i/>
          <w:color w:val="000000"/>
          <w:sz w:val="22"/>
        </w:rPr>
        <w:t xml:space="preserve">Proof of background checks for health care employment agencies and contractors. </w:t>
      </w:r>
      <w:r>
        <w:rPr>
          <w:rFonts w:ascii="Times New Roman" w:hAnsi="Times New Roman"/>
          <w:b w:val="false"/>
          <w:i w:val="false"/>
          <w:color w:val="000000"/>
          <w:sz w:val="22"/>
        </w:rPr>
        <w:t>Proof of background checks may be kept in the files maintained by health care employment agencies and contractors. Health care employment agencies and contractors shall provide a copy of the result of the background checks to the facility or department upon request.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50.9(12)</w:t>
      </w:r>
      <w:r>
        <w:rPr>
          <w:rFonts w:ascii="Times New Roman" w:hAnsi="Times New Roman"/>
          <w:b w:val="false"/>
          <w:i w:val="false"/>
          <w:color w:val="000000"/>
          <w:sz w:val="22"/>
        </w:rPr>
        <w:t> </w:t>
      </w:r>
      <w:r>
        <w:rPr>
          <w:rFonts w:ascii="Times New Roman" w:hAnsi="Times New Roman"/>
          <w:b w:val="false"/>
          <w:i/>
          <w:color w:val="000000"/>
          <w:sz w:val="22"/>
        </w:rPr>
        <w:t xml:space="preserve">Certified nurse aide training program students. </w:t>
      </w:r>
      <w:r>
        <w:rPr>
          <w:rFonts w:ascii="Times New Roman" w:hAnsi="Times New Roman"/>
          <w:b w:val="false"/>
          <w:i w:val="false"/>
          <w:color w:val="000000"/>
          <w:sz w:val="22"/>
        </w:rPr>
        <w:t>Prior to a student’s beginning or returning to a certified nurse aide training program, the program shall either request that the department of public safety perform a criminal history check and that the department of human services perform child and dependent adult abuse record checks of the person in this state, or access the SING to perform the required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Prohibition of involvement in clinical education. </w:t>
      </w:r>
      <w:r>
        <w:rPr>
          <w:rFonts w:ascii="Times New Roman" w:hAnsi="Times New Roman"/>
          <w:b w:val="false"/>
          <w:i w:val="false"/>
          <w:color w:val="000000"/>
          <w:sz w:val="22"/>
        </w:rPr>
        <w:t xml:space="preserve">Except as provided in paragraph </w:t>
      </w:r>
      <w:hyperlink r:id="rId54">
        <w:r>
          <w:rPr>
            <w:rStyle w:val="Hyperlink"/>
            <w:rFonts w:ascii="Times New Roman" w:hAnsi="Times New Roman"/>
            <w:b w:val="false"/>
            <w:i w:val="false"/>
            <w:color w:val="000000"/>
            <w:sz w:val="22"/>
          </w:rPr>
          <w:t>50.9(1)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student has a criminal record or a record of founded child or dependent adult abuse, the student shall not be involved in a clinical education component of the certified nurse aide training program involving children or dependent adults unless an evaluation has been performed by the department of human services. The evaluation shall be performed upon request of the certified nurse aide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Involvement in clinical education component pending evaluation. </w:t>
      </w:r>
      <w:r>
        <w:rPr>
          <w:rFonts w:ascii="Times New Roman" w:hAnsi="Times New Roman"/>
          <w:b w:val="false"/>
          <w:i w:val="false"/>
          <w:color w:val="000000"/>
          <w:sz w:val="22"/>
        </w:rPr>
        <w:t>The training program may provisionally allow the student’s participation in the clinical education component of the certified nurse aide training program pending completion of the required record check and evaluation by the department of human services, as applicable,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have accessed SING to perform the required record check and be awaiting results from SING or awaiting evaluation by the department of human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training program shall request an evaluation by the department of human services in accordance with </w:t>
      </w:r>
      <w:hyperlink r:id="rId55">
        <w:r>
          <w:rPr>
            <w:rStyle w:val="Hyperlink"/>
            <w:rFonts w:ascii="Times New Roman" w:hAnsi="Times New Roman"/>
            <w:b w:val="false"/>
            <w:i w:val="false"/>
            <w:color w:val="000000"/>
            <w:sz w:val="22"/>
          </w:rPr>
          <w:t>paragraph 50.9(12)</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within 30 days of receipt of the SING record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have utilized an approved third-party vendor to perform a comprehensive preliminary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comprehensive preliminary background check determines that the student being considered for participation has been convicted of a crime, the crime does not constitute a felony as defined in Iowa Code section </w:t>
      </w:r>
      <w:hyperlink r:id="rId56">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and is not a crime specified pursuant to Iowa Code chapter </w:t>
      </w:r>
      <w:hyperlink r:id="rId57">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708A</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709A</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710</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710A</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711</w:t>
        </w:r>
      </w:hyperlink>
      <w:r>
        <w:rPr>
          <w:rFonts w:ascii="Times New Roman" w:hAnsi="Times New Roman"/>
          <w:b w:val="false"/>
          <w:i w:val="false"/>
          <w:color w:val="000000"/>
          <w:sz w:val="22"/>
        </w:rPr>
        <w:t xml:space="preserve">, or </w:t>
      </w:r>
      <w:hyperlink r:id="rId64">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 xml:space="preserve"> or pursuant to Iowa Code section </w:t>
      </w:r>
      <w:hyperlink r:id="rId65">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726.7</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726.8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comprehensive preliminary background check shall have determined that the student does not have a record of founded child abuse or dependent adult abuse, or, if the student does have a record of founded child abuse or dependent adult abuse, </w:t>
      </w:r>
      <w:hyperlink r:id="rId68">
        <w:r>
          <w:rPr>
            <w:rStyle w:val="Hyperlink"/>
            <w:rFonts w:ascii="Times New Roman" w:hAnsi="Times New Roman"/>
            <w:b w:val="false"/>
            <w:i w:val="false"/>
            <w:color w:val="000000"/>
            <w:sz w:val="22"/>
          </w:rPr>
          <w:t>subrule 50.9(8)</w:t>
        </w:r>
      </w:hyperlink>
      <w:r>
        <w:rPr>
          <w:rFonts w:ascii="Times New Roman" w:hAnsi="Times New Roman"/>
          <w:b w:val="false"/>
          <w:i w:val="false"/>
          <w:color w:val="000000"/>
          <w:sz w:val="22"/>
        </w:rPr>
        <w:t xml:space="preserve"> is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provisional participation may continue until such time as the required record check through SING and evaluation by the department of human services, as applicable,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Student notification of criminal conviction or founded abuse after performance of record checks and evaluation. </w:t>
      </w:r>
      <w:r>
        <w:rPr>
          <w:rFonts w:ascii="Times New Roman" w:hAnsi="Times New Roman"/>
          <w:b w:val="false"/>
          <w:i w:val="false"/>
          <w:color w:val="000000"/>
          <w:sz w:val="22"/>
        </w:rPr>
        <w:t>If a student is convicted of a crime or has a record of founded child or dependent adult abuse entered in the abuse registry after the record checks and any evaluation have been performed, the student shall inform the certified nurse aide training program of such information within 48 hours of the criminal conviction or entry of the record of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act to verify the information within seven calendar days of notification. “Verify,” for purposes of this paragraph, means to access the single contact repository (SING) to perform a background check, to request a criminal background check from the department of public safety, to request an abuse record check from the department of human services, to conduct an online search through the Iowa Courts Online website, or to contact the county clerk of court office and obtain a copy of relevant court documents. If the information is verified, the program shall follow the requirements of paragraph </w:t>
      </w:r>
      <w:hyperlink r:id="rId69">
        <w:r>
          <w:rPr>
            <w:rStyle w:val="Hyperlink"/>
            <w:rFonts w:ascii="Times New Roman" w:hAnsi="Times New Roman"/>
            <w:b w:val="false"/>
            <w:i w:val="false"/>
            <w:color w:val="000000"/>
            <w:sz w:val="22"/>
          </w:rPr>
          <w:t>50.9(12)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determine whether or not the student’s involvement in a clinical education component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may allow the student involvement to continue pending the performance of an evaluation by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is required to inform the program of a conviction or entry of an abuse record and fails to do so within the required period commits a serious misdemeanor under Iowa Code section </w:t>
      </w:r>
      <w:hyperlink r:id="rId70">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program may notify the county attorney for the county where the program is located of any violation or failure by a student to notify the program of a criminal conviction or entry of an abuse record within the period required by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receipt of credible information that a student has been convicted of a crime or has a record of founded abuse. </w:t>
      </w:r>
      <w:r>
        <w:rPr>
          <w:rFonts w:ascii="Times New Roman" w:hAnsi="Times New Roman"/>
          <w:b w:val="false"/>
          <w:i w:val="false"/>
          <w:color w:val="000000"/>
          <w:sz w:val="22"/>
        </w:rPr>
        <w:t xml:space="preserve">If a program receives credible information, as determined by the program, that a student has been convicted of a crime or a record of founded child or dependent adult abuse has been entered in the abuse registry after the record checks and any evaluation have been performed, from a person other than the student, and the student has not informed the program of such information within 48 hours, the program shall act to verify the credible information within seven calendar days of receipt of the credible information. “Verify,” for purposes of this paragraph, means to access the single contact repository (SING) to perform a background check, to request a criminal background check from the department of public safety, to request an abuse record check from the department of human services, to conduct an online search through the Iowa Courts Online website, or to contact the county clerk of court office and obtain a copy of relevant court documents. If the information is verified, the requirements of paragraph </w:t>
      </w:r>
      <w:hyperlink r:id="rId71">
        <w:r>
          <w:rPr>
            <w:rStyle w:val="Hyperlink"/>
            <w:rFonts w:ascii="Times New Roman" w:hAnsi="Times New Roman"/>
            <w:b w:val="false"/>
            <w:i w:val="false"/>
            <w:color w:val="000000"/>
            <w:sz w:val="22"/>
          </w:rPr>
          <w:t>50.9(12)</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applied to determine whether or not the student’s involvement in a clinical education component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Completion of a certified nurse aide training program conducted by the health care facility. </w:t>
      </w:r>
      <w:r>
        <w:rPr>
          <w:rFonts w:ascii="Times New Roman" w:hAnsi="Times New Roman"/>
          <w:b w:val="false"/>
          <w:i w:val="false"/>
          <w:color w:val="000000"/>
          <w:sz w:val="22"/>
        </w:rPr>
        <w:t xml:space="preserve">If a certified nurse aide training program is conducted by the facility and a student of that program accepts and begins employment with the facility within 30 days of completing the program, the background check of the student performed prior to beginning the training program shall fulfill the criminal and abuse background check requirements. The facility shall maintain the proof required in subrule </w:t>
      </w:r>
      <w:hyperlink r:id="rId72">
        <w:r>
          <w:rPr>
            <w:rStyle w:val="Hyperlink"/>
            <w:rFonts w:ascii="Times New Roman" w:hAnsi="Times New Roman"/>
            <w:b w:val="false"/>
            <w:i w:val="false"/>
            <w:color w:val="000000"/>
            <w:sz w:val="22"/>
          </w:rPr>
          <w:t>50.9(11)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This rule is intended to implement Iowa Code sections </w:t>
      </w:r>
      <w:hyperlink r:id="rId73">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0903C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1566C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5421C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481—50.10</w:t>
      </w:r>
      <w:r>
        <w:rPr>
          <w:rFonts w:ascii="Times New Roman" w:hAnsi="Times New Roman"/>
          <w:b/>
          <w:i w:val="false"/>
          <w:color w:val="000000"/>
          <w:sz w:val="22"/>
        </w:rPr>
        <w:t xml:space="preserve">(135C) </w:t>
      </w:r>
      <w:r>
        <w:rPr>
          <w:rFonts w:ascii="Times New Roman" w:hAnsi="Times New Roman"/>
          <w:b/>
          <w:i w:val="false"/>
          <w:color w:val="000000"/>
          <w:sz w:val="22"/>
        </w:rPr>
        <w:t xml:space="preserve">Inspections, exit interviews, plans of correction, and revisits.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w:t>
      </w:r>
      <w:r>
        <w:rPr>
          <w:rFonts w:ascii="Times New Roman" w:hAnsi="Times New Roman"/>
          <w:b w:val="false"/>
          <w:i w:val="false"/>
          <w:color w:val="000000"/>
          <w:sz w:val="22"/>
        </w:rPr>
        <w:t> </w:t>
      </w:r>
      <w:r>
        <w:rPr>
          <w:rFonts w:ascii="Times New Roman" w:hAnsi="Times New Roman"/>
          <w:b w:val="false"/>
          <w:i/>
          <w:color w:val="000000"/>
          <w:sz w:val="22"/>
        </w:rPr>
        <w:t xml:space="preserve">Frequency of inspection. </w:t>
      </w:r>
      <w:r>
        <w:rPr>
          <w:rFonts w:ascii="Times New Roman" w:hAnsi="Times New Roman"/>
          <w:b w:val="false"/>
          <w:i w:val="false"/>
          <w:color w:val="000000"/>
          <w:sz w:val="22"/>
        </w:rPr>
        <w:t>The department shall inspect a licensed health care facility at least once within a 30-month period. Facilities participating in the Medicare or Medicaid programs may be inspected more frequently as a part of a joint state and federal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w:t>
      </w:r>
      <w:r>
        <w:rPr>
          <w:rFonts w:ascii="Times New Roman" w:hAnsi="Times New Roman"/>
          <w:b w:val="false"/>
          <w:i w:val="false"/>
          <w:color w:val="000000"/>
          <w:sz w:val="22"/>
        </w:rPr>
        <w:t> </w:t>
      </w:r>
      <w:r>
        <w:rPr>
          <w:rFonts w:ascii="Times New Roman" w:hAnsi="Times New Roman"/>
          <w:b w:val="false"/>
          <w:i/>
          <w:color w:val="000000"/>
          <w:sz w:val="22"/>
        </w:rPr>
        <w:t xml:space="preserve">Accessibility of records, the facility, and persons. </w:t>
      </w:r>
      <w:r>
        <w:rPr>
          <w:rFonts w:ascii="Times New Roman" w:hAnsi="Times New Roman"/>
          <w:b w:val="false"/>
          <w:i w:val="false"/>
          <w:color w:val="000000"/>
          <w:sz w:val="22"/>
        </w:rPr>
        <w:t>An inspector of the department may enter any licensed health care facility without a warrant and may examine all records pertaining to the care provided to residents of the facility. An inspector of the department may contact or interview any resident, employee, or any other person who might have knowledge about the operation of a health care facility. The inspector may duplicate records and take photographs as part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50.10(3)</w:t>
      </w:r>
      <w:r>
        <w:rPr>
          <w:rFonts w:ascii="Times New Roman" w:hAnsi="Times New Roman"/>
          <w:b w:val="false"/>
          <w:i w:val="false"/>
          <w:color w:val="000000"/>
          <w:sz w:val="22"/>
        </w:rPr>
        <w:t> </w:t>
      </w:r>
      <w:r>
        <w:rPr>
          <w:rFonts w:ascii="Times New Roman" w:hAnsi="Times New Roman"/>
          <w:b w:val="false"/>
          <w:i/>
          <w:color w:val="000000"/>
          <w:sz w:val="22"/>
        </w:rPr>
        <w:t xml:space="preserve">Exit interviews. </w:t>
      </w:r>
      <w:r>
        <w:rPr>
          <w:rFonts w:ascii="Times New Roman" w:hAnsi="Times New Roman"/>
          <w:b w:val="false"/>
          <w:i w:val="false"/>
          <w:color w:val="000000"/>
          <w:sz w:val="22"/>
        </w:rPr>
        <w:t>The health care facility shall be provided an exit interview at the conclusion of an inspection, and the facility representative shall be informed of all issues and areas of concern related to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Methods of conducting exit interview. </w:t>
      </w:r>
      <w:r>
        <w:rPr>
          <w:rFonts w:ascii="Times New Roman" w:hAnsi="Times New Roman"/>
          <w:b w:val="false"/>
          <w:i w:val="false"/>
          <w:color w:val="000000"/>
          <w:sz w:val="22"/>
        </w:rPr>
        <w:t>The department may conduct the exit interview either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Second exit interviews. </w:t>
      </w:r>
      <w:r>
        <w:rPr>
          <w:rFonts w:ascii="Times New Roman" w:hAnsi="Times New Roman"/>
          <w:b w:val="false"/>
          <w:i w:val="false"/>
          <w:color w:val="000000"/>
          <w:sz w:val="22"/>
        </w:rPr>
        <w:t>The department shall conduct a second exit interview if any additional areas of concern are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50.10(4)</w:t>
      </w:r>
      <w:r>
        <w:rPr>
          <w:rFonts w:ascii="Times New Roman" w:hAnsi="Times New Roman"/>
          <w:b w:val="false"/>
          <w:i w:val="false"/>
          <w:color w:val="000000"/>
          <w:sz w:val="22"/>
        </w:rPr>
        <w:t> </w:t>
      </w:r>
      <w:r>
        <w:rPr>
          <w:rFonts w:ascii="Times New Roman" w:hAnsi="Times New Roman"/>
          <w:b w:val="false"/>
          <w:i/>
          <w:color w:val="000000"/>
          <w:sz w:val="22"/>
        </w:rPr>
        <w:t xml:space="preserve">Submission of additional or rebuttal information. </w:t>
      </w:r>
      <w:r>
        <w:rPr>
          <w:rFonts w:ascii="Times New Roman" w:hAnsi="Times New Roman"/>
          <w:b w:val="false"/>
          <w:i w:val="false"/>
          <w:color w:val="000000"/>
          <w:sz w:val="22"/>
        </w:rPr>
        <w:t>The facility shall be provided two working days from the date of the exit interview to submit additional or rebuttal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Receipt of additional information. </w:t>
      </w:r>
      <w:r>
        <w:rPr>
          <w:rFonts w:ascii="Times New Roman" w:hAnsi="Times New Roman"/>
          <w:b w:val="false"/>
          <w:i w:val="false"/>
          <w:color w:val="000000"/>
          <w:sz w:val="22"/>
        </w:rPr>
        <w:t>Additional or rebuttal information must be received by the department within two working days in order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Methods to submit additional information. </w:t>
      </w:r>
      <w:r>
        <w:rPr>
          <w:rFonts w:ascii="Times New Roman" w:hAnsi="Times New Roman"/>
          <w:b w:val="false"/>
          <w:i w:val="false"/>
          <w:color w:val="000000"/>
          <w:sz w:val="22"/>
        </w:rPr>
        <w:t>The additional or rebuttal information may be submitted via email, facsimile, or overnight courier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 of the opportunity to submit additional or rebuttal information. </w:t>
      </w:r>
      <w:r>
        <w:rPr>
          <w:rFonts w:ascii="Times New Roman" w:hAnsi="Times New Roman"/>
          <w:b w:val="false"/>
          <w:i w:val="false"/>
          <w:color w:val="000000"/>
          <w:sz w:val="22"/>
        </w:rPr>
        <w:t>During the inspection, the facility shall be informed of the opportunity to submit additional or rebuttal information and of the contact information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50.10(5)</w:t>
      </w:r>
      <w:r>
        <w:rPr>
          <w:rFonts w:ascii="Times New Roman" w:hAnsi="Times New Roman"/>
          <w:b w:val="false"/>
          <w:i w:val="false"/>
          <w:color w:val="000000"/>
          <w:sz w:val="22"/>
        </w:rPr>
        <w:t> </w:t>
      </w:r>
      <w:r>
        <w:rPr>
          <w:rFonts w:ascii="Times New Roman" w:hAnsi="Times New Roman"/>
          <w:b w:val="false"/>
          <w:i/>
          <w:color w:val="000000"/>
          <w:sz w:val="22"/>
        </w:rPr>
        <w:t xml:space="preserve">Standards for determining whether a deficiency exists. </w:t>
      </w:r>
      <w:r>
        <w:rPr>
          <w:rFonts w:ascii="Times New Roman" w:hAnsi="Times New Roman"/>
          <w:b w:val="false"/>
          <w:i w:val="false"/>
          <w:color w:val="000000"/>
          <w:sz w:val="22"/>
        </w:rPr>
        <w:t xml:space="preserve">The department shall use a preponderance of the evidence standard when determining whether a regulatory deficiency exists. For purposes of this rule and rule </w:t>
      </w:r>
      <w:hyperlink r:id="rId75">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(135C), “preponderance of the evidence standard” means that the evidence, considered and compared with the evidence opposed to it, produces the belief in a reasonable mind that the allegations or deficiency is more likely true than not true. This standard does not require that the inspector personally witnessed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50.10(6)</w:t>
      </w:r>
      <w:r>
        <w:rPr>
          <w:rFonts w:ascii="Times New Roman" w:hAnsi="Times New Roman"/>
          <w:b w:val="false"/>
          <w:i w:val="false"/>
          <w:color w:val="000000"/>
          <w:sz w:val="22"/>
        </w:rPr>
        <w:t> </w:t>
      </w:r>
      <w:r>
        <w:rPr>
          <w:rFonts w:ascii="Times New Roman" w:hAnsi="Times New Roman"/>
          <w:b w:val="false"/>
          <w:i/>
          <w:color w:val="000000"/>
          <w:sz w:val="22"/>
        </w:rPr>
        <w:t xml:space="preserve">Statement of deficiencies. </w:t>
      </w:r>
      <w:r>
        <w:rPr>
          <w:rFonts w:ascii="Times New Roman" w:hAnsi="Times New Roman"/>
          <w:b w:val="false"/>
          <w:i w:val="false"/>
          <w:color w:val="000000"/>
          <w:sz w:val="22"/>
        </w:rPr>
        <w:t>When one or more deficiencies are found, a statement of deficiencies detailing each deficiency shall be sent by the department to the health care facility within ten working days of the exit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50.10(7)</w:t>
      </w:r>
      <w:r>
        <w:rPr>
          <w:rFonts w:ascii="Times New Roman" w:hAnsi="Times New Roman"/>
          <w:b w:val="false"/>
          <w:i w:val="false"/>
          <w:color w:val="000000"/>
          <w:sz w:val="22"/>
        </w:rPr>
        <w:t> </w:t>
      </w:r>
      <w:r>
        <w:rPr>
          <w:rFonts w:ascii="Times New Roman" w:hAnsi="Times New Roman"/>
          <w:b w:val="false"/>
          <w:i/>
          <w:color w:val="000000"/>
          <w:sz w:val="22"/>
        </w:rPr>
        <w:t xml:space="preserve">Plan of correction. </w:t>
      </w:r>
      <w:r>
        <w:rPr>
          <w:rFonts w:ascii="Times New Roman" w:hAnsi="Times New Roman"/>
          <w:b w:val="false"/>
          <w:i w:val="false"/>
          <w:color w:val="000000"/>
          <w:sz w:val="22"/>
        </w:rPr>
        <w:t>Within ten calendar days following receipt of the statement of deficiencies, the health care facility shall submit a plan of correction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of plan. </w:t>
      </w:r>
      <w:r>
        <w:rPr>
          <w:rFonts w:ascii="Times New Roman" w:hAnsi="Times New Roman"/>
          <w:b w:val="false"/>
          <w:i w:val="false"/>
          <w:color w:val="000000"/>
          <w:sz w:val="22"/>
        </w:rPr>
        <w:t>The plan of correction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facility will correct the deficient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 the facility will act to protect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measures the facility will take or the systems it will alter to ensure that the problem does not recur;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How the facility plans to monitor its performance to make sure that solutions are sustained;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when corrective action will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of plan. </w:t>
      </w:r>
      <w:r>
        <w:rPr>
          <w:rFonts w:ascii="Times New Roman" w:hAnsi="Times New Roman"/>
          <w:b w:val="false"/>
          <w:i w:val="false"/>
          <w:color w:val="000000"/>
          <w:sz w:val="22"/>
        </w:rPr>
        <w:t>The department shall review the plan of correction within ten working days of receipt. The department may request additional information or revisions to the plan, which shall be provided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50.10(8)</w:t>
      </w:r>
      <w:r>
        <w:rPr>
          <w:rFonts w:ascii="Times New Roman" w:hAnsi="Times New Roman"/>
          <w:b w:val="false"/>
          <w:i w:val="false"/>
          <w:color w:val="000000"/>
          <w:sz w:val="22"/>
        </w:rPr>
        <w:t> </w:t>
      </w:r>
      <w:r>
        <w:rPr>
          <w:rFonts w:ascii="Times New Roman" w:hAnsi="Times New Roman"/>
          <w:b w:val="false"/>
          <w:i/>
          <w:color w:val="000000"/>
          <w:sz w:val="22"/>
        </w:rPr>
        <w:t xml:space="preserve">Revisits. </w:t>
      </w:r>
      <w:r>
        <w:rPr>
          <w:rFonts w:ascii="Times New Roman" w:hAnsi="Times New Roman"/>
          <w:b w:val="false"/>
          <w:i w:val="false"/>
          <w:color w:val="000000"/>
          <w:sz w:val="22"/>
        </w:rPr>
        <w:t xml:space="preserve">If a facility licensed under this chapter is subject to or will be subject to denial of payment including payment for Medicare or medical assistance (Medicaid) under Iowa Code chapter </w:t>
      </w:r>
      <w:hyperlink r:id="rId7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denial of payment for all new admissions pursuant to 42 CFR Section 488.417, and submits a plan of correction relating to the deficiencies or a response to a citation issued under </w:t>
      </w:r>
      <w:hyperlink r:id="rId77">
        <w:r>
          <w:rPr>
            <w:rStyle w:val="Hyperlink"/>
            <w:rFonts w:ascii="Times New Roman" w:hAnsi="Times New Roman"/>
            <w:b w:val="false"/>
            <w:i w:val="false"/>
            <w:color w:val="000000"/>
            <w:sz w:val="22"/>
          </w:rPr>
          <w:t>481—Chapter 56</w:t>
        </w:r>
      </w:hyperlink>
      <w:r>
        <w:rPr>
          <w:rFonts w:ascii="Times New Roman" w:hAnsi="Times New Roman"/>
          <w:b w:val="false"/>
          <w:i w:val="false"/>
          <w:color w:val="000000"/>
          <w:sz w:val="22"/>
        </w:rPr>
        <w:t xml:space="preserve"> and the department elects to conduct an on-site revisit inspection, the department shall commence the revisit inspection within the shortest time feasible of the date that the plan of correction is received or the date specified within the plan of correction alleging compliance,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50.10(9)</w:t>
      </w:r>
      <w:r>
        <w:rPr>
          <w:rFonts w:ascii="Times New Roman" w:hAnsi="Times New Roman"/>
          <w:b w:val="false"/>
          <w:i w:val="false"/>
          <w:color w:val="000000"/>
          <w:sz w:val="22"/>
        </w:rPr>
        <w:t> </w:t>
      </w:r>
      <w:r>
        <w:rPr>
          <w:rFonts w:ascii="Times New Roman" w:hAnsi="Times New Roman"/>
          <w:b w:val="false"/>
          <w:i/>
          <w:color w:val="000000"/>
          <w:sz w:val="22"/>
        </w:rPr>
        <w:t xml:space="preserve">Appeals of statement of deficiencies. </w:t>
      </w:r>
      <w:r>
        <w:rPr>
          <w:rFonts w:ascii="Times New Roman" w:hAnsi="Times New Roman"/>
          <w:b w:val="false"/>
          <w:i w:val="false"/>
          <w:color w:val="000000"/>
          <w:sz w:val="22"/>
        </w:rPr>
        <w:t xml:space="preserve">The facility may appeal the statement of deficiencies by filing an appeal request with the department within 20 working days after receipt of the statement of deficiencies. The procedures defined in rule </w:t>
      </w:r>
      <w:hyperlink r:id="rId78">
        <w:r>
          <w:rPr>
            <w:rStyle w:val="Hyperlink"/>
            <w:rFonts w:ascii="Times New Roman" w:hAnsi="Times New Roman"/>
            <w:b w:val="false"/>
            <w:i w:val="false"/>
            <w:color w:val="000000"/>
            <w:sz w:val="22"/>
          </w:rPr>
          <w:t>481—50.6</w:t>
        </w:r>
      </w:hyperlink>
      <w:r>
        <w:rPr>
          <w:rFonts w:ascii="Times New Roman" w:hAnsi="Times New Roman"/>
          <w:b w:val="false"/>
          <w:i w:val="false"/>
          <w:color w:val="000000"/>
          <w:sz w:val="22"/>
        </w:rPr>
        <w:t>(10A) shall be followed for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1566C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481—50.11</w:t>
      </w:r>
      <w:r>
        <w:rPr>
          <w:rFonts w:ascii="Times New Roman" w:hAnsi="Times New Roman"/>
          <w:b/>
          <w:i w:val="false"/>
          <w:color w:val="000000"/>
          <w:sz w:val="22"/>
        </w:rPr>
        <w:t xml:space="preserve">(135C) </w:t>
      </w:r>
      <w:r>
        <w:rPr>
          <w:rFonts w:ascii="Times New Roman" w:hAnsi="Times New Roman"/>
          <w:b/>
          <w:i w:val="false"/>
          <w:color w:val="000000"/>
          <w:sz w:val="22"/>
        </w:rPr>
        <w:t xml:space="preserve">Complaint and self-reported incident investigation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The process for filing a complaint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with concerns regarding a facility may file a complaint with the Department of Inspections and Appeals, Complaint/Incident Bureau, Lucas State Office Building, Third Floor, 321 E. 12th Street, Des Moines, Iowa 50319-0083; by use of the complaint hotline, 1-877-686-0027; by facsimile sent to (515)281-7106; or through the website address </w:t>
      </w:r>
      <w:hyperlink r:id="rId79">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the department’s authority, the department shall forward the complaint or refer the complainant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complainant shall include as much of the following information as possible in the complaint: the complainant’s name, address and telephone number; the complainant’s relationship to the facility or resident; and the reason for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complainant’s name shall be confidential information and shall not be released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act on anonymous complaints unless the department determines that the complaint is intended to harass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department, upon preliminary review, determines that the complaint is intended as harassment or is without a reasonable basis, the department may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color w:val="000000"/>
          <w:sz w:val="22"/>
        </w:rPr>
        <w:t xml:space="preserve">Self-reported incident. </w:t>
      </w:r>
      <w:r>
        <w:rPr>
          <w:rFonts w:ascii="Times New Roman" w:hAnsi="Times New Roman"/>
          <w:b w:val="false"/>
          <w:i w:val="false"/>
          <w:color w:val="000000"/>
          <w:sz w:val="22"/>
        </w:rPr>
        <w:t xml:space="preserve">When the facility is required pursuant to rule </w:t>
      </w:r>
      <w:hyperlink r:id="rId80">
        <w:r>
          <w:rPr>
            <w:rStyle w:val="Hyperlink"/>
            <w:rFonts w:ascii="Times New Roman" w:hAnsi="Times New Roman"/>
            <w:b w:val="false"/>
            <w:i w:val="false"/>
            <w:color w:val="000000"/>
            <w:sz w:val="22"/>
          </w:rPr>
          <w:t>481— 50.7</w:t>
        </w:r>
      </w:hyperlink>
      <w:r>
        <w:rPr>
          <w:rFonts w:ascii="Times New Roman" w:hAnsi="Times New Roman"/>
          <w:b w:val="false"/>
          <w:i w:val="false"/>
          <w:color w:val="000000"/>
          <w:sz w:val="22"/>
        </w:rPr>
        <w:t>(10A,135C) or other requirements to report an incident, the facility shall make the report to the department via: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web-based reporting tool accessible from the following Internet site, </w:t>
      </w:r>
      <w:hyperlink r:id="rId81">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under the “Login” tab and then access “Add self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 by sending the self-report to the Department of Inspections and Appeals, Complaint/Incident Bureau, Lucas State Office Building, Third Floor, 321 E. 12th Street, Des Moines, Iowa 50319-0083;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complaint/incident hotline, 1-877-686-0027;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Facsimile sent to (515)281-7106.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investigation of complaint or self-reported incident. </w:t>
      </w:r>
      <w:r>
        <w:rPr>
          <w:rFonts w:ascii="Times New Roman" w:hAnsi="Times New Roman"/>
          <w:b w:val="false"/>
          <w:i w:val="false"/>
          <w:color w:val="000000"/>
          <w:sz w:val="22"/>
        </w:rPr>
        <w:t>The following guidelines shall be used for determining the time frame in which an on-site inspection of the facility shall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Immediate jeopardy situation. </w:t>
      </w:r>
      <w:r>
        <w:rPr>
          <w:rFonts w:ascii="Times New Roman" w:hAnsi="Times New Roman"/>
          <w:b w:val="false"/>
          <w:i w:val="false"/>
          <w:color w:val="000000"/>
          <w:sz w:val="22"/>
        </w:rPr>
        <w:t xml:space="preserve">Within 2 working days for a complaint or self-reported incident determined by the department to be an alleged immediate jeopardy situation. For purposes of this rule, “immediate jeopardy situation” means a situation in which the facility’s alleged noncompliance with Iowa Code chapter </w:t>
      </w:r>
      <w:hyperlink r:id="rId8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or rules adopted pursuant thereto, has caused or is likely to cause, serious injury, harm, impairment, or death to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High-level nonimmediate jeopardy situation. </w:t>
      </w:r>
      <w:r>
        <w:rPr>
          <w:rFonts w:ascii="Times New Roman" w:hAnsi="Times New Roman"/>
          <w:b w:val="false"/>
          <w:i w:val="false"/>
          <w:color w:val="000000"/>
          <w:sz w:val="22"/>
        </w:rPr>
        <w:t xml:space="preserve">Within 10 days for nursing facilities and within 20 working days for intermediate care facilities and residential care facilities for a complaint or self-reported incident determined by the department to be an alleged high-level nonimmediate jeopardy situation. For purposes of this rule, “high-level nonimmediate jeopardy situation” means the alleged noncompliance with Iowa Code chapter </w:t>
      </w:r>
      <w:hyperlink r:id="rId8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or rules adopted pursuant thereto, may have caused harm that negatively impacts the resident’s mental, physical, or psychosocial status and is of such consequence to the resident’s well-being that a rapid response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nonimmediate jeopardy situation. </w:t>
      </w:r>
      <w:r>
        <w:rPr>
          <w:rFonts w:ascii="Times New Roman" w:hAnsi="Times New Roman"/>
          <w:b w:val="false"/>
          <w:i w:val="false"/>
          <w:color w:val="000000"/>
          <w:sz w:val="22"/>
        </w:rPr>
        <w:t xml:space="preserve">Within 45 calendar days for a complaint or self-reported incident determined by the department to be an alleged nonimmediate jeopardy situation, other than a high-level nonimmediate jeopardy situation. For purposes of this rule, “other nonimmediate jeopardy situation” means a situation that is not a high-level nonimmediate jeopardy situation where the alleged noncompliance with Iowa Code chapter </w:t>
      </w:r>
      <w:hyperlink r:id="rId8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or rules adopted pursuant thereto, may cause harm of limited consequence and does not significantly impair the individual’s mental, physical, or psychosocial status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 inspection of facility-reported incidents. </w:t>
      </w:r>
      <w:r>
        <w:rPr>
          <w:rFonts w:ascii="Times New Roman" w:hAnsi="Times New Roman"/>
          <w:b w:val="false"/>
          <w:i w:val="false"/>
          <w:color w:val="000000"/>
          <w:sz w:val="22"/>
        </w:rPr>
        <w:t>The department may determine not to institute an inspection of a self-reported incident using criteria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evident deficiency on the part of the facility, and the facility has taken appropriate measures to address the situation;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potential deficiency but: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facility has taken appropriate measures to address the situation;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facility does not have a recent history of identified deficiency similar to or related to the incident being reported;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complaint has not been filed regarding the incident being reported;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resulting injury does not cause a significant negative impact to the resident’s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or self-reported incident is substantiated. </w:t>
      </w:r>
      <w:r>
        <w:rPr>
          <w:rFonts w:ascii="Times New Roman" w:hAnsi="Times New Roman"/>
          <w:b w:val="false"/>
          <w:i w:val="false"/>
          <w:color w:val="000000"/>
          <w:sz w:val="22"/>
        </w:rPr>
        <w:t>The department shall apply a preponderance of the evidence standard in determining whether a complaint or self-reported incident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program and complainant. </w:t>
      </w:r>
      <w:r>
        <w:rPr>
          <w:rFonts w:ascii="Times New Roman" w:hAnsi="Times New Roman"/>
          <w:b w:val="false"/>
          <w:i w:val="false"/>
          <w:color w:val="000000"/>
          <w:sz w:val="22"/>
        </w:rPr>
        <w:t>The department shall notify the facility and, if known, the complainant of the findings of the complaint investigation. The department shall also notify the complainant, if known, if the department does not investigate a complaint, and the reasons for not investigating the complaint shall be included in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50.11(6)</w:t>
      </w:r>
      <w:r>
        <w:rPr>
          <w:rFonts w:ascii="Times New Roman" w:hAnsi="Times New Roman"/>
          <w:b w:val="false"/>
          <w:i w:val="false"/>
          <w:color w:val="000000"/>
          <w:sz w:val="22"/>
        </w:rPr>
        <w:t> </w:t>
      </w:r>
      <w:r>
        <w:rPr>
          <w:rFonts w:ascii="Times New Roman" w:hAnsi="Times New Roman"/>
          <w:b w:val="false"/>
          <w:i/>
          <w:color w:val="000000"/>
          <w:sz w:val="22"/>
        </w:rPr>
        <w:t xml:space="preserve">Process for complaint and self-reported incident. </w:t>
      </w:r>
      <w:r>
        <w:rPr>
          <w:rFonts w:ascii="Times New Roman" w:hAnsi="Times New Roman"/>
          <w:b w:val="false"/>
          <w:i w:val="false"/>
          <w:color w:val="000000"/>
          <w:sz w:val="22"/>
        </w:rPr>
        <w:t xml:space="preserve">The department and facility shall follow the process outlined in rule </w:t>
      </w:r>
      <w:hyperlink r:id="rId85">
        <w:r>
          <w:rPr>
            <w:rStyle w:val="Hyperlink"/>
            <w:rFonts w:ascii="Times New Roman" w:hAnsi="Times New Roman"/>
            <w:b w:val="false"/>
            <w:i w:val="false"/>
            <w:color w:val="000000"/>
            <w:sz w:val="22"/>
          </w:rPr>
          <w:t>481—50.10</w:t>
        </w:r>
      </w:hyperlink>
      <w:r>
        <w:rPr>
          <w:rFonts w:ascii="Times New Roman" w:hAnsi="Times New Roman"/>
          <w:b w:val="false"/>
          <w:i w:val="false"/>
          <w:color w:val="000000"/>
          <w:sz w:val="22"/>
        </w:rPr>
        <w:t>(135C), as applicable, when conducting or responding to a complaint or self-reported incident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481—50.12</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Requirements for service. </w:t>
      </w:r>
      <w:r>
        <w:rPr>
          <w:rFonts w:ascii="Times New Roman" w:hAnsi="Times New Roman"/>
          <w:b w:val="false"/>
          <w:i w:val="false"/>
          <w:color w:val="000000"/>
          <w:sz w:val="22"/>
        </w:rPr>
        <w:t>At each inspection, the facility shall provide the most current contact information for the purpose of service of departmental notices. A statement of deficiencies or citation shall be served upon a facility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w:t>
      </w:r>
      <w:r>
        <w:rPr>
          <w:rFonts w:ascii="Times New Roman" w:hAnsi="Times New Roman"/>
          <w:b w:val="false"/>
          <w:i w:val="false"/>
          <w:color w:val="000000"/>
          <w:sz w:val="22"/>
        </w:rPr>
        <w:t> </w:t>
      </w:r>
      <w:r>
        <w:rPr>
          <w:rFonts w:ascii="Times New Roman" w:hAnsi="Times New Roman"/>
          <w:b w:val="false"/>
          <w:i/>
          <w:color w:val="000000"/>
          <w:sz w:val="22"/>
        </w:rPr>
        <w:t xml:space="preserve">Electronic mail. </w:t>
      </w:r>
      <w:r>
        <w:rPr>
          <w:rFonts w:ascii="Times New Roman" w:hAnsi="Times New Roman"/>
          <w:b w:val="false"/>
          <w:i w:val="false"/>
          <w:color w:val="000000"/>
          <w:sz w:val="22"/>
        </w:rPr>
        <w:t>If a facility has electronic mail, electronic mail shall be used for service of statements of deficiencies and citations. If electronic mail is used, the following shall be complied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the electronic message return receipt requested. The response from the return receipt shall officially document receipt of the service and the date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shall allow the electronic return receipt to be returned to the department and shall not delay the sending of the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has not received the return receipt within three business days of sending the service via electronic mail, the department shall contact the facility to verify the receipt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w:t>
      </w:r>
      <w:r>
        <w:rPr>
          <w:rFonts w:ascii="Times New Roman" w:hAnsi="Times New Roman"/>
          <w:b w:val="false"/>
          <w:i w:val="false"/>
          <w:color w:val="000000"/>
          <w:sz w:val="22"/>
        </w:rPr>
        <w:t> </w:t>
      </w:r>
      <w:r>
        <w:rPr>
          <w:rFonts w:ascii="Times New Roman" w:hAnsi="Times New Roman"/>
          <w:b w:val="false"/>
          <w:i/>
          <w:color w:val="000000"/>
          <w:sz w:val="22"/>
        </w:rPr>
        <w:t xml:space="preserve">Certified mail. </w:t>
      </w:r>
      <w:r>
        <w:rPr>
          <w:rFonts w:ascii="Times New Roman" w:hAnsi="Times New Roman"/>
          <w:b w:val="false"/>
          <w:i w:val="false"/>
          <w:color w:val="000000"/>
          <w:sz w:val="22"/>
        </w:rPr>
        <w:t>If a facility does not have access to electronic mail, the service shall be sent via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50.12(3)</w:t>
      </w:r>
      <w:r>
        <w:rPr>
          <w:rFonts w:ascii="Times New Roman" w:hAnsi="Times New Roman"/>
          <w:b w:val="false"/>
          <w:i w:val="false"/>
          <w:color w:val="000000"/>
          <w:sz w:val="22"/>
        </w:rPr>
        <w:t> </w:t>
      </w:r>
      <w:r>
        <w:rPr>
          <w:rFonts w:ascii="Times New Roman" w:hAnsi="Times New Roman"/>
          <w:b w:val="false"/>
          <w:i/>
          <w:color w:val="000000"/>
          <w:sz w:val="22"/>
        </w:rPr>
        <w:t xml:space="preserve">Personal service. </w:t>
      </w:r>
      <w:r>
        <w:rPr>
          <w:rFonts w:ascii="Times New Roman" w:hAnsi="Times New Roman"/>
          <w:b w:val="false"/>
          <w:i w:val="false"/>
          <w:color w:val="000000"/>
          <w:sz w:val="22"/>
        </w:rPr>
        <w:t>The department may choose to personally serve the notice upon the health care facility by delivering a copy of the statement of deficiencies or citation to the health care facility and presenting the copy to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481—50.13</w:t>
      </w:r>
      <w:r>
        <w:rPr>
          <w:rFonts w:ascii="Times New Roman" w:hAnsi="Times New Roman"/>
          <w:b/>
          <w:i w:val="false"/>
          <w:color w:val="000000"/>
          <w:sz w:val="22"/>
        </w:rPr>
        <w:t xml:space="preserve">(135C) </w:t>
      </w:r>
      <w:r>
        <w:rPr>
          <w:rFonts w:ascii="Times New Roman" w:hAnsi="Times New Roman"/>
          <w:b/>
          <w:i w:val="false"/>
          <w:color w:val="000000"/>
          <w:sz w:val="22"/>
        </w:rPr>
        <w:t xml:space="preserve">Inspectors’ conflicts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w:t>
      </w:r>
      <w:r>
        <w:rPr>
          <w:rFonts w:ascii="Times New Roman" w:hAnsi="Times New Roman"/>
          <w:b w:val="false"/>
          <w:i w:val="false"/>
          <w:color w:val="000000"/>
          <w:sz w:val="22"/>
        </w:rPr>
        <w:t> </w:t>
      </w:r>
      <w:r>
        <w:rPr>
          <w:rFonts w:ascii="Times New Roman" w:hAnsi="Times New Roman"/>
          <w:b w:val="false"/>
          <w:i/>
          <w:color w:val="000000"/>
          <w:sz w:val="22"/>
        </w:rPr>
        <w:t xml:space="preserve">Conflicts. </w:t>
      </w:r>
      <w:r>
        <w:rPr>
          <w:rFonts w:ascii="Times New Roman" w:hAnsi="Times New Roman"/>
          <w:b w:val="false"/>
          <w:i w:val="false"/>
          <w:color w:val="000000"/>
          <w:sz w:val="22"/>
        </w:rPr>
        <w:t xml:space="preserve">Any of the following circumstances disqualifies an inspector from inspecting a particular health care facility licensed under Iowa Code chapter </w:t>
      </w:r>
      <w:hyperlink r:id="rId8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inspector currently works or, within the past two years, has worked as an employee or employment agency staff at the health care facility, or as an officer, consultant, or agent for the health care facility to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inspector has any financial interest or any ownership interest in the facility. For purposes of this paragraph, indirect ownership, such as through a broad-based mutual fund, does not constitute a financial or ownership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inspector has an immediate family member who has a relationship with the facility as described in subrule </w:t>
      </w:r>
      <w:hyperlink r:id="rId87">
        <w:r>
          <w:rPr>
            <w:rStyle w:val="Hyperlink"/>
            <w:rFonts w:ascii="Times New Roman" w:hAnsi="Times New Roman"/>
            <w:b w:val="false"/>
            <w:i w:val="false"/>
            <w:color w:val="000000"/>
            <w:sz w:val="22"/>
          </w:rPr>
          <w:t>50.13(1)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w:t>
      </w:r>
      <w:r>
        <w:rPr>
          <w:rFonts w:ascii="Times New Roman" w:hAnsi="Times New Roman"/>
          <w:b w:val="false"/>
          <w:i w:val="false"/>
          <w:color w:val="000000"/>
          <w:sz w:val="22"/>
        </w:rPr>
        <w:t> </w:t>
      </w:r>
      <w:r>
        <w:rPr>
          <w:rFonts w:ascii="Times New Roman" w:hAnsi="Times New Roman"/>
          <w:b w:val="false"/>
          <w:i/>
          <w:color w:val="000000"/>
          <w:sz w:val="22"/>
        </w:rPr>
        <w:t xml:space="preserve">Immediate family member. </w:t>
      </w:r>
      <w:r>
        <w:rPr>
          <w:rFonts w:ascii="Times New Roman" w:hAnsi="Times New Roman"/>
          <w:b w:val="false"/>
          <w:i w:val="false"/>
          <w:color w:val="000000"/>
          <w:sz w:val="22"/>
        </w:rPr>
        <w:t>For purposes of this rule, “immediate family member” means the same as set forth in 42 CFR 488.301, and includes a husband or wife; natural or adoptive parent, child, or sibling; stepparent, stepchild, or stepsibling; father-in-law, mother-in-law, son-in-law, daughter-in-law, brother-in-law, or sister-in-law; or grandparent or grandchild.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135B.3 to 135B.7</w:t>
        </w:r>
      </w:hyperlink>
      <w:r>
        <w:rPr>
          <w:rFonts w:ascii="Times New Roman" w:hAnsi="Times New Roman"/>
          <w:b w:val="false"/>
          <w:i w:val="false"/>
          <w:color w:val="000000"/>
          <w:sz w:val="22"/>
        </w:rPr>
        <w:t xml:space="preserve"> and Iowa Code chapters </w:t>
      </w:r>
      <w:hyperlink r:id="rId90">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6/25/87, Notice 4/8/87—published 7/15/87, effective 8/19/87]</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1/16/91, Notice 11/28/90—published 2/6/91, effective 3/13/91]</w:t>
      </w:r>
    </w:p>
    <w:p>
      <w:pPr>
        <w:spacing w:before="0" w:after="0"/>
        <w:ind w:left="120"/>
        <w:jc w:val="center"/>
      </w:pPr>
      <w:r>
        <w:rPr>
          <w:rFonts w:ascii="Times New Roman" w:hAnsi="Times New Roman"/>
          <w:b w:val="false"/>
          <w:i w:val="false"/>
          <w:color w:val="000000"/>
          <w:sz w:val="21"/>
        </w:rPr>
        <w:t>[Filed 1/31/92, Notice 11/13/91—published 2/19/92, effective 3/25/92]</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8433B</w:t>
      </w:r>
      <w:r>
        <w:rPr>
          <w:rFonts w:ascii="Times New Roman" w:hAnsi="Times New Roman"/>
          <w:b w:val="false"/>
          <w:i w:val="false"/>
          <w:color w:val="000000"/>
          <w:sz w:val="21"/>
        </w:rPr>
        <w:t xml:space="preserve"> (Notice ARC 8190B, IAB 10/7/09)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1566C</w:t>
      </w:r>
      <w:r>
        <w:rPr>
          <w:rFonts w:ascii="Times New Roman" w:hAnsi="Times New Roman"/>
          <w:b w:val="false"/>
          <w:i w:val="false"/>
          <w:color w:val="000000"/>
          <w:sz w:val="21"/>
        </w:rPr>
        <w:t xml:space="preserve"> (Notice ARC 1502C,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7035C</w:t>
      </w:r>
      <w:r>
        <w:rPr>
          <w:rFonts w:ascii="Times New Roman" w:hAnsi="Times New Roman"/>
          <w:b w:val="false"/>
          <w:i w:val="false"/>
          <w:color w:val="000000"/>
          <w:sz w:val="21"/>
        </w:rPr>
        <w:t xml:space="preserve"> (Notice ARC 6911C, IAB 2/22/23)</w:t>
      </w:r>
      <w:r>
        <w:rPr>
          <w:rFonts w:ascii="Times New Roman" w:hAnsi="Times New Roman"/>
          <w:b w:val="false"/>
          <w:i w:val="false"/>
          <w:color w:val="000000"/>
          <w:sz w:val="21"/>
        </w:rPr>
        <w:t>, IAB 5/31/23, effective 7/5/23]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1.pdf" Type="http://schemas.openxmlformats.org/officeDocument/2006/relationships/hyperlink" Id="rId5"/>
    <Relationship TargetMode="External" Target="https://www.legis.iowa.gov/docs/iac/chapter/481.53.pdf" Type="http://schemas.openxmlformats.org/officeDocument/2006/relationships/hyperlink" Id="rId6"/>
    <Relationship TargetMode="External" Target="https://www.legis.iowa.gov/docs/iac/chapter/481.57.pdf" Type="http://schemas.openxmlformats.org/officeDocument/2006/relationships/hyperlink" Id="rId7"/>
    <Relationship TargetMode="External" Target="https://www.legis.iowa.gov/docs/iac/chapter/481.60.pdf" Type="http://schemas.openxmlformats.org/officeDocument/2006/relationships/hyperlink" Id="rId8"/>
    <Relationship TargetMode="External" Target="https://www.legis.iowa.gov/docs/iac/chapter/481.58.pdf" Type="http://schemas.openxmlformats.org/officeDocument/2006/relationships/hyperlink" Id="rId9"/>
    <Relationship TargetMode="External" Target="https://www.legis.iowa.gov/docs/iac/chapter/481.61.pdf" Type="http://schemas.openxmlformats.org/officeDocument/2006/relationships/hyperlink" Id="rId10"/>
    <Relationship TargetMode="External" Target="https://www.legis.iowa.gov/docs/iac/chapter/481.60.pdf" Type="http://schemas.openxmlformats.org/officeDocument/2006/relationships/hyperlink" Id="rId11"/>
    <Relationship TargetMode="External" Target="https://www.legis.iowa.gov/docs/iac/chapter/481.62.pdf" Type="http://schemas.openxmlformats.org/officeDocument/2006/relationships/hyperlink" Id="rId12"/>
    <Relationship TargetMode="External" Target="https://www.legis.iowa.gov/docs/iac/chapter/481.63.pdf" Type="http://schemas.openxmlformats.org/officeDocument/2006/relationships/hyperlink" Id="rId13"/>
    <Relationship TargetMode="External" Target="https://www.legis.iowa.gov/docs/iac/chapter/481.64.pdf" Type="http://schemas.openxmlformats.org/officeDocument/2006/relationships/hyperlink" Id="rId14"/>
    <Relationship TargetMode="External" Target="https://www.legis.iowa.gov/docs/iac/chapter/481.65.pdf" Type="http://schemas.openxmlformats.org/officeDocument/2006/relationships/hyperlink" Id="rId15"/>
    <Relationship TargetMode="External" Target="https://www.legis.iowa.gov/docs/iac/chapter/481.56.pdf" Type="http://schemas.openxmlformats.org/officeDocument/2006/relationships/hyperlink" Id="rId16"/>
    <Relationship TargetMode="External" Target="https://www.legis.iowa.gov/docs/iac/chapter/481.9.pdf" Type="http://schemas.openxmlformats.org/officeDocument/2006/relationships/hyperlink" Id="rId17"/>
    <Relationship TargetMode="External" Target="https://www.legis.iowa.gov/docs/iac/chapter/481.10.pdf" Type="http://schemas.openxmlformats.org/officeDocument/2006/relationships/hyperlink" Id="rId18"/>
    <Relationship TargetMode="External" Target="https://www.legis.iowa.gov/docs/iac/rule/481.57.1.pdf" Type="http://schemas.openxmlformats.org/officeDocument/2006/relationships/hyperlink" Id="rId19"/>
    <Relationship TargetMode="External" Target="https://www.legis.iowa.gov/docs/iac/rule/481.58.1.pdf" Type="http://schemas.openxmlformats.org/officeDocument/2006/relationships/hyperlink" Id="rId20"/>
    <Relationship TargetMode="External" Target="https://www.legis.iowa.gov/docs/iac/rule/481.63.1.pdf" Type="http://schemas.openxmlformats.org/officeDocument/2006/relationships/hyperlink" Id="rId21"/>
    <Relationship TargetMode="External" Target="https://www.legis.iowa.gov/docs/ico/chapter/235E.pdf" Type="http://schemas.openxmlformats.org/officeDocument/2006/relationships/hyperlink" Id="rId22"/>
    <Relationship TargetMode="External" Target="https://www.legis.iowa.gov/docs/iac/chapter/481.5.pdf" Type="http://schemas.openxmlformats.org/officeDocument/2006/relationships/hyperlink" Id="rId23"/>
    <Relationship TargetMode="External" Target="https://www.legis.iowa.gov/docs/iac/rule/481.50.8.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135B.12.pdf" Type="http://schemas.openxmlformats.org/officeDocument/2006/relationships/hyperlink" Id="rId26"/>
    <Relationship TargetMode="External" Target="https://www.legis.iowa.gov/docs/ico/chapter/135C.19.pdf" Type="http://schemas.openxmlformats.org/officeDocument/2006/relationships/hyperlink" Id="rId27"/>
    <Relationship TargetMode="External" Target="https://www.legis.iowa.gov/docs/ico/chapter/135B.1.pdf" Type="http://schemas.openxmlformats.org/officeDocument/2006/relationships/hyperlink" Id="rId28"/>
    <Relationship TargetMode="External" Target="https://www.legis.iowa.gov/docs/ico/chapter/135C.pdf" Type="http://schemas.openxmlformats.org/officeDocument/2006/relationships/hyperlink" Id="rId29"/>
    <Relationship TargetMode="External" Target="https://www.legis.iowa.gov/docs/ico/chapter/135Q.1.pdf" Type="http://schemas.openxmlformats.org/officeDocument/2006/relationships/hyperlink" Id="rId30"/>
    <Relationship TargetMode="External" Target="https://www.legis.iowa.gov/docs/ico/chapter/135C.pdf" Type="http://schemas.openxmlformats.org/officeDocument/2006/relationships/hyperlink" Id="rId31"/>
    <Relationship TargetMode="External" Target="https://www.legis.iowa.gov/docs/ico/chapter/321.pdf" Type="http://schemas.openxmlformats.org/officeDocument/2006/relationships/hyperlink" Id="rId32"/>
    <Relationship TargetMode="External" Target="https://www.legis.iowa.gov/docs/ico/chapter/321.pdf" Type="http://schemas.openxmlformats.org/officeDocument/2006/relationships/hyperlink" Id="rId33"/>
    <Relationship TargetMode="External" Target="https://www.legis.iowa.gov/docs/iac/rule/481.50.9.pdf" Type="http://schemas.openxmlformats.org/officeDocument/2006/relationships/hyperlink" Id="rId34"/>
    <Relationship TargetMode="External" Target="https://www.legis.iowa.gov/docs/ico/chapter/701.7.pdf" Type="http://schemas.openxmlformats.org/officeDocument/2006/relationships/hyperlink" Id="rId35"/>
    <Relationship TargetMode="External" Target="https://www.legis.iowa.gov/docs/ico/chapter/708.pdf" Type="http://schemas.openxmlformats.org/officeDocument/2006/relationships/hyperlink" Id="rId36"/>
    <Relationship TargetMode="External" Target="https://www.legis.iowa.gov/docs/ico/chapter/708A.pdf" Type="http://schemas.openxmlformats.org/officeDocument/2006/relationships/hyperlink" Id="rId37"/>
    <Relationship TargetMode="External" Target="https://www.legis.iowa.gov/docs/ico/chapter/709.pdf" Type="http://schemas.openxmlformats.org/officeDocument/2006/relationships/hyperlink" Id="rId38"/>
    <Relationship TargetMode="External" Target="https://www.legis.iowa.gov/docs/ico/chapter/709A.pdf" Type="http://schemas.openxmlformats.org/officeDocument/2006/relationships/hyperlink" Id="rId39"/>
    <Relationship TargetMode="External" Target="https://www.legis.iowa.gov/docs/ico/chapter/710.pdf" Type="http://schemas.openxmlformats.org/officeDocument/2006/relationships/hyperlink" Id="rId40"/>
    <Relationship TargetMode="External" Target="https://www.legis.iowa.gov/docs/ico/chapter/710A.pdf" Type="http://schemas.openxmlformats.org/officeDocument/2006/relationships/hyperlink" Id="rId41"/>
    <Relationship TargetMode="External" Target="https://www.legis.iowa.gov/docs/ico/chapter/711.pdf" Type="http://schemas.openxmlformats.org/officeDocument/2006/relationships/hyperlink" Id="rId42"/>
    <Relationship TargetMode="External" Target="https://www.legis.iowa.gov/docs/ico/chapter/712.pdf" Type="http://schemas.openxmlformats.org/officeDocument/2006/relationships/hyperlink" Id="rId43"/>
    <Relationship TargetMode="External" Target="https://www.legis.iowa.gov/docs/ico/chapter/726.3.pdf" Type="http://schemas.openxmlformats.org/officeDocument/2006/relationships/hyperlink" Id="rId44"/>
    <Relationship TargetMode="External" Target="https://www.legis.iowa.gov/docs/ico/chapter/726.7.pdf" Type="http://schemas.openxmlformats.org/officeDocument/2006/relationships/hyperlink" Id="rId45"/>
    <Relationship TargetMode="External" Target="https://www.legis.iowa.gov/docs/ico/chapter/726.8.pdf" Type="http://schemas.openxmlformats.org/officeDocument/2006/relationships/hyperlink" Id="rId46"/>
    <Relationship TargetMode="External" Target="https://www.legis.iowa.gov/docs/iac/rule/481.50.9.pdf" Type="http://schemas.openxmlformats.org/officeDocument/2006/relationships/hyperlink" Id="rId47"/>
    <Relationship TargetMode="External" Target="https://www.legis.iowa.gov/docs/iac/rule/481.50.9.pdf" Type="http://schemas.openxmlformats.org/officeDocument/2006/relationships/hyperlink" Id="rId48"/>
    <Relationship TargetMode="External" Target="https://www.legis.iowa.gov/docs/iac/rule/481.50.9.pdf" Type="http://schemas.openxmlformats.org/officeDocument/2006/relationships/hyperlink" Id="rId49"/>
    <Relationship TargetMode="External" Target="https://www.legis.iowa.gov/docs/iac/rule/481.50.9.pdf" Type="http://schemas.openxmlformats.org/officeDocument/2006/relationships/hyperlink" Id="rId50"/>
    <Relationship TargetMode="External" Target="https://www.legis.iowa.gov/docs/ico/chapter/135C.33.pdf" Type="http://schemas.openxmlformats.org/officeDocument/2006/relationships/hyperlink" Id="rId51"/>
    <Relationship TargetMode="External" Target="https://www.legis.iowa.gov/docs/iac/rule/481.50.9.pdf" Type="http://schemas.openxmlformats.org/officeDocument/2006/relationships/hyperlink" Id="rId52"/>
    <Relationship TargetMode="External" Target="https://www.legis.iowa.gov/docs/iac/rule/481.50.9.pdf" Type="http://schemas.openxmlformats.org/officeDocument/2006/relationships/hyperlink" Id="rId53"/>
    <Relationship TargetMode="External" Target="https://www.legis.iowa.gov/docs/ico/chapter/50.9.pdf" Type="http://schemas.openxmlformats.org/officeDocument/2006/relationships/hyperlink" Id="rId54"/>
    <Relationship TargetMode="External" Target="https://www.legis.iowa.gov/docs/iac/rule/481.50.9.pdf" Type="http://schemas.openxmlformats.org/officeDocument/2006/relationships/hyperlink" Id="rId55"/>
    <Relationship TargetMode="External" Target="https://www.legis.iowa.gov/docs/ico/chapter/701.7.pdf" Type="http://schemas.openxmlformats.org/officeDocument/2006/relationships/hyperlink" Id="rId56"/>
    <Relationship TargetMode="External" Target="https://www.legis.iowa.gov/docs/ico/chapter/708.pdf" Type="http://schemas.openxmlformats.org/officeDocument/2006/relationships/hyperlink" Id="rId57"/>
    <Relationship TargetMode="External" Target="https://www.legis.iowa.gov/docs/ico/chapter/708A.pdf" Type="http://schemas.openxmlformats.org/officeDocument/2006/relationships/hyperlink" Id="rId58"/>
    <Relationship TargetMode="External" Target="https://www.legis.iowa.gov/docs/ico/chapter/709.pdf" Type="http://schemas.openxmlformats.org/officeDocument/2006/relationships/hyperlink" Id="rId59"/>
    <Relationship TargetMode="External" Target="https://www.legis.iowa.gov/docs/ico/chapter/709A.pdf" Type="http://schemas.openxmlformats.org/officeDocument/2006/relationships/hyperlink" Id="rId60"/>
    <Relationship TargetMode="External" Target="https://www.legis.iowa.gov/docs/ico/chapter/710.pdf" Type="http://schemas.openxmlformats.org/officeDocument/2006/relationships/hyperlink" Id="rId61"/>
    <Relationship TargetMode="External" Target="https://www.legis.iowa.gov/docs/ico/chapter/710A.pdf" Type="http://schemas.openxmlformats.org/officeDocument/2006/relationships/hyperlink" Id="rId62"/>
    <Relationship TargetMode="External" Target="https://www.legis.iowa.gov/docs/ico/chapter/711.pdf" Type="http://schemas.openxmlformats.org/officeDocument/2006/relationships/hyperlink" Id="rId63"/>
    <Relationship TargetMode="External" Target="https://www.legis.iowa.gov/docs/ico/chapter/712.pdf" Type="http://schemas.openxmlformats.org/officeDocument/2006/relationships/hyperlink" Id="rId64"/>
    <Relationship TargetMode="External" Target="https://www.legis.iowa.gov/docs/ico/chapter/726.3.pdf" Type="http://schemas.openxmlformats.org/officeDocument/2006/relationships/hyperlink" Id="rId65"/>
    <Relationship TargetMode="External" Target="https://www.legis.iowa.gov/docs/ico/chapter/726.7.pdf" Type="http://schemas.openxmlformats.org/officeDocument/2006/relationships/hyperlink" Id="rId66"/>
    <Relationship TargetMode="External" Target="https://www.legis.iowa.gov/docs/ico/chapter/726.8.pdf" Type="http://schemas.openxmlformats.org/officeDocument/2006/relationships/hyperlink" Id="rId67"/>
    <Relationship TargetMode="External" Target="https://www.legis.iowa.gov/docs/iac/rule/481.50.9.pdf" Type="http://schemas.openxmlformats.org/officeDocument/2006/relationships/hyperlink" Id="rId68"/>
    <Relationship TargetMode="External" Target="https://www.legis.iowa.gov/docs/iac/rule/481.50.9.pdf" Type="http://schemas.openxmlformats.org/officeDocument/2006/relationships/hyperlink" Id="rId69"/>
    <Relationship TargetMode="External" Target="https://www.legis.iowa.gov/docs/ico/chapter/135C.33.pdf" Type="http://schemas.openxmlformats.org/officeDocument/2006/relationships/hyperlink" Id="rId70"/>
    <Relationship TargetMode="External" Target="https://www.legis.iowa.gov/docs/iac/rule/481.50.9.pdf" Type="http://schemas.openxmlformats.org/officeDocument/2006/relationships/hyperlink" Id="rId71"/>
    <Relationship TargetMode="External" Target="https://www.legis.iowa.gov/docs/iac/rule/481.50.9.pdf" Type="http://schemas.openxmlformats.org/officeDocument/2006/relationships/hyperlink" Id="rId72"/>
    <Relationship TargetMode="External" Target="https://www.legis.iowa.gov/docs/ico/chapter/135C.14.pdf" Type="http://schemas.openxmlformats.org/officeDocument/2006/relationships/hyperlink" Id="rId73"/>
    <Relationship TargetMode="External" Target="https://www.legis.iowa.gov/docs/ico/chapter/135C.33.pdf" Type="http://schemas.openxmlformats.org/officeDocument/2006/relationships/hyperlink" Id="rId74"/>
    <Relationship TargetMode="External" Target="https://www.legis.iowa.gov/docs/iac/rule/481.50.11.pdf" Type="http://schemas.openxmlformats.org/officeDocument/2006/relationships/hyperlink" Id="rId75"/>
    <Relationship TargetMode="External" Target="https://www.legis.iowa.gov/docs/ico/chapter/249A.pdf" Type="http://schemas.openxmlformats.org/officeDocument/2006/relationships/hyperlink" Id="rId76"/>
    <Relationship TargetMode="External" Target="https://www.legis.iowa.gov/docs/iac/chapter/481.56.pdf" Type="http://schemas.openxmlformats.org/officeDocument/2006/relationships/hyperlink" Id="rId77"/>
    <Relationship TargetMode="External" Target="https://www.legis.iowa.gov/docs/iac/rule/481.50.6.pdf" Type="http://schemas.openxmlformats.org/officeDocument/2006/relationships/hyperlink" Id="rId78"/>
    <Relationship TargetMode="External" Target="http://dia-hfd.iowa.gov" Type="http://schemas.openxmlformats.org/officeDocument/2006/relationships/hyperlink" Id="rId79"/>
    <Relationship TargetMode="External" Target="https://www.legis.iowa.gov/docs/iac/rule/481.50.7.pdf" Type="http://schemas.openxmlformats.org/officeDocument/2006/relationships/hyperlink" Id="rId80"/>
    <Relationship TargetMode="External" Target="http://dia-hfd.iowa.gov" Type="http://schemas.openxmlformats.org/officeDocument/2006/relationships/hyperlink" Id="rId81"/>
    <Relationship TargetMode="External" Target="https://www.legis.iowa.gov/docs/ico/chapter/135C.pdf" Type="http://schemas.openxmlformats.org/officeDocument/2006/relationships/hyperlink" Id="rId82"/>
    <Relationship TargetMode="External" Target="https://www.legis.iowa.gov/docs/ico/chapter/135C.pdf" Type="http://schemas.openxmlformats.org/officeDocument/2006/relationships/hyperlink" Id="rId83"/>
    <Relationship TargetMode="External" Target="https://www.legis.iowa.gov/docs/ico/chapter/135C.pdf" Type="http://schemas.openxmlformats.org/officeDocument/2006/relationships/hyperlink" Id="rId84"/>
    <Relationship TargetMode="External" Target="https://www.legis.iowa.gov/docs/iac/rule/481.50.10.pdf" Type="http://schemas.openxmlformats.org/officeDocument/2006/relationships/hyperlink" Id="rId85"/>
    <Relationship TargetMode="External" Target="https://www.legis.iowa.gov/docs/ico/chapter/135C.pdf" Type="http://schemas.openxmlformats.org/officeDocument/2006/relationships/hyperlink" Id="rId86"/>
    <Relationship TargetMode="External" Target="https://www.legis.iowa.gov/docs/iac/rule/481.50.13.pdf" Type="http://schemas.openxmlformats.org/officeDocument/2006/relationships/hyperlink" Id="rId87"/>
    <Relationship TargetMode="External" Target="https://www.legis.iowa.gov/docs/ico/chapter/22.11.pdf" Type="http://schemas.openxmlformats.org/officeDocument/2006/relationships/hyperlink" Id="rId88"/>
    <Relationship TargetMode="External" Target="https://www.legis.iowa.gov/docs/ico/chapter/135B.3-7.pdf" Type="http://schemas.openxmlformats.org/officeDocument/2006/relationships/hyperlink" Id="rId89"/>
    <Relationship TargetMode="External" Target="https://www.legis.iowa.gov/docs/ico/chapter/10A.pdf" Type="http://schemas.openxmlformats.org/officeDocument/2006/relationships/hyperlink" Id="rId90"/>
    <Relationship TargetMode="External" Target="https://www.legis.iowa.gov/docs/ico/chapter/135C.pdf" Type="http://schemas.openxmlformats.org/officeDocument/2006/relationships/hyperlink" Id="rId9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