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496</w:t>
      </w:r>
    </w:p>
    <w:p>
      <w:pPr>
        <w:spacing w:before="0" w:after="0"/>
        <w:ind w:left="120"/>
        <w:jc w:val="center"/>
      </w:pPr>
      <w:r>
        <w:rPr>
          <w:rFonts w:ascii="Times New Roman" w:hAnsi="Times New Roman"/>
          <w:b w:val="false"/>
          <w:i w:val="false"/>
          <w:color w:val="000000"/>
          <w:sz w:val="21"/>
        </w:rPr>
        <w:t>MINIMUM REQUIREMENTS FOR TANNING FACILITIES</w:t>
      </w:r>
    </w:p>
    <w:p>
      <w:pPr>
        <w:spacing w:before="0" w:after="0"/>
        <w:ind w:left="120"/>
        <w:jc w:val="center"/>
      </w:pPr>
      <w:r>
        <w:rPr>
          <w:rFonts w:ascii="Times New Roman" w:hAnsi="Times New Roman"/>
          <w:b w:val="false"/>
          <w:i w:val="false"/>
          <w:color w:val="000000"/>
          <w:sz w:val="14"/>
        </w:rPr>
        <w:t>[Prior to 4/2/25, see Public Health Department[641] Ch 46]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481—496.1</w:t>
      </w:r>
      <w:r>
        <w:rPr>
          <w:rFonts w:ascii="Times New Roman" w:hAnsi="Times New Roman"/>
          <w:b/>
          <w:i w:val="false"/>
          <w:color w:val="000000"/>
          <w:sz w:val="22"/>
        </w:rPr>
        <w:t xml:space="preserve">(136D)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provides for the permitting and regulation of tanning facilities and devices used for the purpose of tanning human skin through the application of ultraviolet radiation. This includes but is not limited to public and private businesses, hotels, motels, apartments, condominiums, and health and country clubs. Tanning facilities that follow these rules are not relieved from the requirements of any other federal and state regulations or local ordinances.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481—496.2</w:t>
      </w:r>
      <w:r>
        <w:rPr>
          <w:rFonts w:ascii="Times New Roman" w:hAnsi="Times New Roman"/>
          <w:b/>
          <w:i w:val="false"/>
          <w:color w:val="000000"/>
          <w:sz w:val="22"/>
        </w:rPr>
        <w:t xml:space="preserve">(136D)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136D.2</w:t>
        </w:r>
      </w:hyperlink>
      <w:r>
        <w:rPr>
          <w:rFonts w:ascii="Times New Roman" w:hAnsi="Times New Roman"/>
          <w:b w:val="false"/>
          <w:i w:val="false"/>
          <w:color w:val="000000"/>
          <w:sz w:val="22"/>
        </w:rPr>
        <w:t xml:space="preserve"> are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health” </w:t>
      </w:r>
      <w:r>
        <w:rPr>
          <w:rFonts w:ascii="Times New Roman" w:hAnsi="Times New Roman"/>
          <w:b w:val="false"/>
          <w:i w:val="false"/>
          <w:color w:val="000000"/>
          <w:sz w:val="22"/>
        </w:rPr>
        <w:t>means a county, city, or district board of health that has a 28E agreement with the department to perform inspections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“Cleansing” </w:t>
      </w:r>
      <w:r>
        <w:rPr>
          <w:rFonts w:ascii="Times New Roman" w:hAnsi="Times New Roman"/>
          <w:b w:val="false"/>
          <w:i w:val="false"/>
          <w:color w:val="000000"/>
          <w:sz w:val="22"/>
        </w:rPr>
        <w:t>means to remove soil, dirt, oils or other residues from the surface of the tanning unit which may come into contact with the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“Cleansing agent” </w:t>
      </w:r>
      <w:r>
        <w:rPr>
          <w:rFonts w:ascii="Times New Roman" w:hAnsi="Times New Roman"/>
          <w:b w:val="false"/>
          <w:i w:val="false"/>
          <w:color w:val="000000"/>
          <w:sz w:val="22"/>
        </w:rPr>
        <w:t>means a substance capable of producing the effect of “cleansing.” These agents shall not adversely affect the equipment or the health of the consumer and be acceptable to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“Consumer” </w:t>
      </w:r>
      <w:r>
        <w:rPr>
          <w:rFonts w:ascii="Times New Roman" w:hAnsi="Times New Roman"/>
          <w:b w:val="false"/>
          <w:i w:val="false"/>
          <w:color w:val="000000"/>
          <w:sz w:val="22"/>
        </w:rPr>
        <w:t>means any member of the public who is provided access to a tanning facility in exchange for a fee or other compensation, or any individual who, in exchange for a fee or other compensation, is afforded use of a tanning facility as a condition or benefit of membership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“Exposure position” </w:t>
      </w:r>
      <w:r>
        <w:rPr>
          <w:rFonts w:ascii="Times New Roman" w:hAnsi="Times New Roman"/>
          <w:b w:val="false"/>
          <w:i w:val="false"/>
          <w:color w:val="000000"/>
          <w:sz w:val="22"/>
        </w:rPr>
        <w:t>means any position, distance, orientation, or location relative to the radiation surfaces of a tanning device at which the user is intended to be exposed to ultraviolet radiation from the product, as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“Formal training” </w:t>
      </w:r>
      <w:r>
        <w:rPr>
          <w:rFonts w:ascii="Times New Roman" w:hAnsi="Times New Roman"/>
          <w:b w:val="false"/>
          <w:i w:val="false"/>
          <w:color w:val="000000"/>
          <w:sz w:val="22"/>
        </w:rPr>
        <w:t>means a course of instruction approved by the department for operators of tanning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an individual, licensed by the state of Iowa, who has received formal medical training in the use of phototherapy.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means an official examination or observation to determine compliance with statutes, rules, orders, or other applicable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“Manufacturer’s recommendations” </w:t>
      </w:r>
      <w:r>
        <w:rPr>
          <w:rFonts w:ascii="Times New Roman" w:hAnsi="Times New Roman"/>
          <w:b w:val="false"/>
          <w:i w:val="false"/>
          <w:color w:val="000000"/>
          <w:sz w:val="22"/>
        </w:rPr>
        <w:t>means written guidelines established by a manufacturer and approved by the U.S. Food and Drug Administration for the installation and operation of the manufacturer’s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an individual designated to control operation of the tanning facility and to instruct and assist the consumer in the proper operation of the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“permit to operate” </w:t>
      </w:r>
      <w:r>
        <w:rPr>
          <w:rFonts w:ascii="Times New Roman" w:hAnsi="Times New Roman"/>
          <w:b w:val="false"/>
          <w:i w:val="false"/>
          <w:color w:val="000000"/>
          <w:sz w:val="22"/>
        </w:rPr>
        <w:t>means a document issued by the department that authorizes a person to operate a tanning facility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partnership, firm, association, trust, estate, public or private institution, group, agency, political subdivision of this state, any other state, or political subdivision or agency thereof, and any legal successor, representative, agent, or agency of the foregoing, but does 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“Ultraviolet radiation” </w:t>
      </w:r>
      <w:r>
        <w:rPr>
          <w:rFonts w:ascii="Times New Roman" w:hAnsi="Times New Roman"/>
          <w:b w:val="false"/>
          <w:i w:val="false"/>
          <w:color w:val="000000"/>
          <w:sz w:val="22"/>
        </w:rPr>
        <w:t>means electromagnetic radiation with wavelengths in air between 200 and 400 nanometers.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481—496.3</w:t>
      </w:r>
      <w:r>
        <w:rPr>
          <w:rFonts w:ascii="Times New Roman" w:hAnsi="Times New Roman"/>
          <w:b/>
          <w:i w:val="false"/>
          <w:color w:val="000000"/>
          <w:sz w:val="22"/>
        </w:rPr>
        <w:t xml:space="preserve">(136D) </w:t>
      </w:r>
      <w:r>
        <w:rPr>
          <w:rFonts w:ascii="Times New Roman" w:hAnsi="Times New Roman"/>
          <w:b/>
          <w:i w:val="false"/>
          <w:color w:val="000000"/>
          <w:sz w:val="22"/>
        </w:rPr>
        <w:t xml:space="preserve">Exemptions. </w:t>
      </w:r>
      <w:r>
        <w:rPr>
          <w:rFonts w:ascii="Times New Roman" w:hAnsi="Times New Roman"/>
          <w:b w:val="false"/>
          <w:i w:val="false"/>
          <w:color w:val="000000"/>
          <w:sz w:val="22"/>
        </w:rPr>
        <w:t>The department may, upon application or its own initiative, grant exemptions from these rules as long as it will not result in undue hazard to public health and safety. The following categories of devices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496.3(1)</w:t>
      </w:r>
      <w:r>
        <w:rPr>
          <w:rFonts w:ascii="Times New Roman" w:hAnsi="Times New Roman"/>
          <w:b w:val="false"/>
          <w:i w:val="false"/>
          <w:color w:val="000000"/>
          <w:sz w:val="22"/>
        </w:rPr>
        <w:t> </w:t>
      </w:r>
      <w:r>
        <w:rPr>
          <w:rFonts w:ascii="Times New Roman" w:hAnsi="Times New Roman"/>
          <w:b w:val="false"/>
          <w:i w:val="false"/>
          <w:color w:val="000000"/>
          <w:sz w:val="22"/>
        </w:rPr>
        <w:t>Devices intended for purposes other than the deliberate exposure of human skin to ultraviolet radiation that produce or emit ultraviolet radiation incidental to their proper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496.3(2)</w:t>
      </w:r>
      <w:r>
        <w:rPr>
          <w:rFonts w:ascii="Times New Roman" w:hAnsi="Times New Roman"/>
          <w:b w:val="false"/>
          <w:i w:val="false"/>
          <w:color w:val="000000"/>
          <w:sz w:val="22"/>
        </w:rPr>
        <w:t> </w:t>
      </w:r>
      <w:r>
        <w:rPr>
          <w:rFonts w:ascii="Times New Roman" w:hAnsi="Times New Roman"/>
          <w:b w:val="false"/>
          <w:i w:val="false"/>
          <w:color w:val="000000"/>
          <w:sz w:val="22"/>
        </w:rPr>
        <w:t>Tanning devices that are limited exclusively to personal use by an individual and the individual’s immediate family. Multiple ownership of the device by persons for personal use only does not qualify it for the “personal use only”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496.3(3)</w:t>
      </w:r>
      <w:r>
        <w:rPr>
          <w:rFonts w:ascii="Times New Roman" w:hAnsi="Times New Roman"/>
          <w:b w:val="false"/>
          <w:i w:val="false"/>
          <w:color w:val="000000"/>
          <w:sz w:val="22"/>
        </w:rPr>
        <w:t> </w:t>
      </w:r>
      <w:r>
        <w:rPr>
          <w:rFonts w:ascii="Times New Roman" w:hAnsi="Times New Roman"/>
          <w:b w:val="false"/>
          <w:i w:val="false"/>
          <w:color w:val="000000"/>
          <w:sz w:val="22"/>
        </w:rPr>
        <w:t>Phototherapy devices used by a properly trained health care professional in the treatment of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481—496.4</w:t>
      </w:r>
      <w:r>
        <w:rPr>
          <w:rFonts w:ascii="Times New Roman" w:hAnsi="Times New Roman"/>
          <w:b/>
          <w:i w:val="false"/>
          <w:color w:val="000000"/>
          <w:sz w:val="22"/>
        </w:rPr>
        <w:t xml:space="preserve">(136D) </w:t>
      </w:r>
      <w:r>
        <w:rPr>
          <w:rFonts w:ascii="Times New Roman" w:hAnsi="Times New Roman"/>
          <w:b/>
          <w:i w:val="false"/>
          <w:color w:val="000000"/>
          <w:sz w:val="22"/>
        </w:rPr>
        <w:t xml:space="preserve">Permits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496.4(1)</w:t>
      </w:r>
      <w:r>
        <w:rPr>
          <w:rFonts w:ascii="Times New Roman" w:hAnsi="Times New Roman"/>
          <w:b w:val="false"/>
          <w:i w:val="false"/>
          <w:color w:val="000000"/>
          <w:sz w:val="22"/>
        </w:rPr>
        <w:t> </w:t>
      </w:r>
      <w:r>
        <w:rPr>
          <w:rFonts w:ascii="Times New Roman" w:hAnsi="Times New Roman"/>
          <w:b w:val="false"/>
          <w:i/>
          <w:color w:val="000000"/>
          <w:sz w:val="22"/>
        </w:rPr>
        <w:t xml:space="preserve">Permit to operate. </w:t>
      </w:r>
      <w:r>
        <w:rPr>
          <w:rFonts w:ascii="Times New Roman" w:hAnsi="Times New Roman"/>
          <w:b w:val="false"/>
          <w:i w:val="false"/>
          <w:color w:val="000000"/>
          <w:sz w:val="22"/>
        </w:rPr>
        <w:t>No tanning facility may operate without a permit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permit. </w:t>
      </w:r>
      <w:r>
        <w:rPr>
          <w:rFonts w:ascii="Times New Roman" w:hAnsi="Times New Roman"/>
          <w:b w:val="false"/>
          <w:i w:val="false"/>
          <w:color w:val="000000"/>
          <w:sz w:val="22"/>
        </w:rPr>
        <w:t>Prior to operating a tanning facility, an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permit on forms provided by the department or board of health, along with a nonrefundable application fee of $5. A $15 returned check fee will be charged for each check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30 days of any changes, additions, or deletions to the initial or renewal application as appropriate. This does not include changes involving replacement of components in tanning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496.4(3)</w:t>
      </w:r>
      <w:r>
        <w:rPr>
          <w:rFonts w:ascii="Times New Roman" w:hAnsi="Times New Roman"/>
          <w:b w:val="false"/>
          <w:i w:val="false"/>
          <w:color w:val="000000"/>
          <w:sz w:val="22"/>
        </w:rPr>
        <w:t> </w:t>
      </w:r>
      <w:r>
        <w:rPr>
          <w:rFonts w:ascii="Times New Roman" w:hAnsi="Times New Roman"/>
          <w:b w:val="false"/>
          <w:i/>
          <w:color w:val="000000"/>
          <w:sz w:val="22"/>
        </w:rPr>
        <w:t xml:space="preserve">Expiration of permit. </w:t>
      </w:r>
      <w:r>
        <w:rPr>
          <w:rFonts w:ascii="Times New Roman" w:hAnsi="Times New Roman"/>
          <w:b w:val="false"/>
          <w:i w:val="false"/>
          <w:color w:val="000000"/>
          <w:sz w:val="22"/>
        </w:rPr>
        <w:t xml:space="preserve">Except as provided in paragraph </w:t>
      </w:r>
      <w:hyperlink r:id="rId6">
        <w:r>
          <w:rPr>
            <w:rStyle w:val="Hyperlink"/>
            <w:rFonts w:ascii="Times New Roman" w:hAnsi="Times New Roman"/>
            <w:b w:val="false"/>
            <w:i w:val="false"/>
            <w:color w:val="000000"/>
            <w:sz w:val="22"/>
          </w:rPr>
          <w:t>496.4(4)</w:t>
        </w:r>
      </w:hyperlink>
      <w:r>
        <w:rPr>
          <w:rFonts w:ascii="Times New Roman" w:hAnsi="Times New Roman"/>
          <w:b w:val="false"/>
          <w:i/>
          <w:color w:val="000000"/>
          <w:sz w:val="22"/>
        </w:rPr>
        <w:t>“b,”</w:t>
      </w:r>
      <w:r>
        <w:rPr>
          <w:rFonts w:ascii="Times New Roman" w:hAnsi="Times New Roman"/>
          <w:b w:val="false"/>
          <w:i w:val="false"/>
          <w:color w:val="000000"/>
          <w:sz w:val="22"/>
        </w:rPr>
        <w:t xml:space="preserve"> each permit expires at the end of the specified day stated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496.4(4)</w:t>
      </w:r>
      <w:r>
        <w:rPr>
          <w:rFonts w:ascii="Times New Roman" w:hAnsi="Times New Roman"/>
          <w:b w:val="false"/>
          <w:i w:val="false"/>
          <w:color w:val="000000"/>
          <w:sz w:val="22"/>
        </w:rPr>
        <w:t> </w:t>
      </w:r>
      <w:r>
        <w:rPr>
          <w:rFonts w:ascii="Times New Roman" w:hAnsi="Times New Roman"/>
          <w:b w:val="false"/>
          <w:i/>
          <w:color w:val="000000"/>
          <w:sz w:val="22"/>
        </w:rPr>
        <w:t xml:space="preserve">Renewal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Permits will be renewed annually upon the department’s receipt of a completed renewal application and the $5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completed renewal is submitted prior to expiration of the existing permit, the existing permit does not expire until the application has been finally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annual fee not paid, tanning facilities incur a $25 per month fee for failure to pay annual permit fees starting the month of expiration of the facility’s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496.4(5)</w:t>
      </w:r>
      <w:r>
        <w:rPr>
          <w:rFonts w:ascii="Times New Roman" w:hAnsi="Times New Roman"/>
          <w:b w:val="false"/>
          <w:i w:val="false"/>
          <w:color w:val="000000"/>
          <w:sz w:val="22"/>
        </w:rPr>
        <w:t> </w:t>
      </w:r>
      <w:r>
        <w:rPr>
          <w:rFonts w:ascii="Times New Roman" w:hAnsi="Times New Roman"/>
          <w:b w:val="false"/>
          <w:i/>
          <w:color w:val="000000"/>
          <w:sz w:val="22"/>
        </w:rPr>
        <w:t xml:space="preserve">Transfer or termination of permit. </w:t>
      </w:r>
      <w:r>
        <w:rPr>
          <w:rFonts w:ascii="Times New Roman" w:hAnsi="Times New Roman"/>
          <w:b w:val="false"/>
          <w:i w:val="false"/>
          <w:color w:val="000000"/>
          <w:sz w:val="22"/>
        </w:rPr>
        <w:t>Permits are nontransferable and must be returned to the department or board of health upon cessation of operation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496.4(6)</w:t>
      </w:r>
      <w:r>
        <w:rPr>
          <w:rFonts w:ascii="Times New Roman" w:hAnsi="Times New Roman"/>
          <w:b w:val="false"/>
          <w:i w:val="false"/>
          <w:color w:val="000000"/>
          <w:sz w:val="22"/>
        </w:rPr>
        <w:t> </w:t>
      </w:r>
      <w:r>
        <w:rPr>
          <w:rFonts w:ascii="Times New Roman" w:hAnsi="Times New Roman"/>
          <w:b w:val="false"/>
          <w:i/>
          <w:color w:val="000000"/>
          <w:sz w:val="22"/>
        </w:rPr>
        <w:t xml:space="preserve">Denial, revocation, or termination of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permit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Submission of false information to the department, including in a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Operation of the tanning facility in a manner that causes or threatens hazard to the public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to allow authorized representatives of the department or board of health to enter the tanning facility at reasonable times for the purpose of determining compliance with the provisions of this chapter, conditions of the permit, or an order of the department or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fees in accordance with rule </w:t>
      </w:r>
      <w:hyperlink r:id="rId7">
        <w:r>
          <w:rPr>
            <w:rStyle w:val="Hyperlink"/>
            <w:rFonts w:ascii="Times New Roman" w:hAnsi="Times New Roman"/>
            <w:b w:val="false"/>
            <w:i w:val="false"/>
            <w:color w:val="000000"/>
            <w:sz w:val="22"/>
          </w:rPr>
          <w:t>481—496.4</w:t>
        </w:r>
      </w:hyperlink>
      <w:r>
        <w:rPr>
          <w:rFonts w:ascii="Times New Roman" w:hAnsi="Times New Roman"/>
          <w:b w:val="false"/>
          <w:i w:val="false"/>
          <w:color w:val="000000"/>
          <w:sz w:val="22"/>
        </w:rPr>
        <w:t>(136D);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any of the provisions of this chapter or Iowa Code chapter </w:t>
      </w:r>
      <w:hyperlink r:id="rId8">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cases where public health and safety require otherwise, prior to the institution of proceedings for suspension or revocation of a permit, the department or board of health will notify the permit holder, in writing, of the facts or conduct warranting such action and provide an opportunity for the permit holder to demonstrate or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aggrieved by a decision by the department to deny, suspend, or revoke a permit may request a contested case hearing pursuant to </w:t>
      </w:r>
      <w:hyperlink r:id="rId9">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suspension or revocation, a permit may be reinstated upon payment of a $50 fee and completion of all other requirements. This fee is in addition to any other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496.4(7)</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Inspections will be conducted annually at the cost of the permit holder. The cost of an inspection is $33 per tanning device, up to $330 per facility maximum. Inspection costs are due upon receipt of notice by the facility. Facilities located within a contracted area of a board of health will be paid to the contracted board of health or its designee. Inspection costs not received within 45 days of the date of billing will be assessed a $25 per month penalty for each month or fraction thereof that payment is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penalty fee of $25 per facility may be assessed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respond to a notice of violation within 30 days of the date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correct violations cited during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Inspections include but are not limited to reviewing proper operation and maintenance of devices, necessary records and training documentation, and operator understanding and competency.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481—496.5</w:t>
      </w:r>
      <w:r>
        <w:rPr>
          <w:rFonts w:ascii="Times New Roman" w:hAnsi="Times New Roman"/>
          <w:b/>
          <w:i w:val="false"/>
          <w:color w:val="000000"/>
          <w:sz w:val="22"/>
        </w:rPr>
        <w:t xml:space="preserve">(136D) </w:t>
      </w:r>
      <w:r>
        <w:rPr>
          <w:rFonts w:ascii="Times New Roman" w:hAnsi="Times New Roman"/>
          <w:b/>
          <w:i w:val="false"/>
          <w:color w:val="000000"/>
          <w:sz w:val="22"/>
        </w:rPr>
        <w:t xml:space="preserve">Construction and operation of tanning facilities. </w:t>
      </w:r>
      <w:r>
        <w:rPr>
          <w:rFonts w:ascii="Times New Roman" w:hAnsi="Times New Roman"/>
          <w:b w:val="false"/>
          <w:i w:val="false"/>
          <w:color w:val="000000"/>
          <w:sz w:val="22"/>
        </w:rPr>
        <w:t>The following are minimum standards for the construction, operation, and maintenance of tanning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496.5(1)</w:t>
      </w:r>
      <w:r>
        <w:rPr>
          <w:rFonts w:ascii="Times New Roman" w:hAnsi="Times New Roman"/>
          <w:b w:val="false"/>
          <w:i w:val="false"/>
          <w:color w:val="000000"/>
          <w:sz w:val="22"/>
        </w:rPr>
        <w:t> </w:t>
      </w:r>
      <w:r>
        <w:rPr>
          <w:rFonts w:ascii="Times New Roman" w:hAnsi="Times New Roman"/>
          <w:b w:val="false"/>
          <w:i/>
          <w:color w:val="000000"/>
          <w:sz w:val="22"/>
        </w:rPr>
        <w:t xml:space="preserve">Warning signs. </w:t>
      </w:r>
      <w:r>
        <w:rPr>
          <w:rFonts w:ascii="Times New Roman" w:hAnsi="Times New Roman"/>
          <w:b w:val="false"/>
          <w:i w:val="false"/>
          <w:color w:val="000000"/>
          <w:sz w:val="22"/>
        </w:rPr>
        <w:t>A tanning facility shall provide and post warning signs and statements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warning sign must use minimum 0.5-inch (12.7-millimeter) letters for the statement “DANGER, ULTRAVIOLET RADIATION” and 0.25-inch (6.4-millimeter) letters for other lettering; use red lettering against a white background; be at least 9.0 inches by 12.0 inches (22.9 centimeters × 30.5 centimeters); and have the following wording:</w:t>
      </w:r>
    </w:p>
    <w:p>
      <w:pPr>
        <w:spacing w:before="0" w:after="0"/>
        <w:ind w:left="120"/>
        <w:jc w:val="center"/>
      </w:pPr>
      <w:r>
        <w:rPr>
          <w:rFonts w:ascii="Times New Roman" w:hAnsi="Times New Roman"/>
          <w:b w:val="false"/>
          <w:i w:val="false"/>
          <w:color w:val="000000"/>
          <w:sz w:val="1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DANGER</w:t>
      </w:r>
    </w:p>
    <w:p>
      <w:pPr>
        <w:spacing w:before="0" w:after="0"/>
        <w:ind w:left="120"/>
        <w:jc w:val="both"/>
      </w:pPr>
      <w:r>
        <w:rPr>
          <w:rFonts w:ascii="Times New Roman" w:hAnsi="Times New Roman"/>
          <w:b w:val="false"/>
          <w:i w:val="false"/>
          <w:color w:val="000000"/>
          <w:sz w:val="22"/>
        </w:rPr>
        <w:t>ULTRAVIOLET RADIATION</w:t>
      </w:r>
    </w:p>
    <w:p>
      <w:pPr>
        <w:spacing w:before="0" w:after="0"/>
        <w:ind w:left="120"/>
        <w:jc w:val="both"/>
      </w:pPr>
      <w:r>
        <w:rPr>
          <w:rFonts w:ascii="Times New Roman" w:hAnsi="Times New Roman"/>
          <w:b w:val="false"/>
          <w:i w:val="false"/>
          <w:color w:val="000000"/>
          <w:sz w:val="22"/>
        </w:rPr>
        <w:t>— Overexposure can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Eye and skin injury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Allergic reaction</w:t>
      </w:r>
    </w:p>
    <w:p>
      <w:pPr>
        <w:spacing w:before="0" w:after="0"/>
        <w:ind w:left="120"/>
        <w:jc w:val="both"/>
      </w:pPr>
      <w:r>
        <w:rPr>
          <w:rFonts w:ascii="Times New Roman" w:hAnsi="Times New Roman"/>
          <w:b w:val="false"/>
          <w:i w:val="false"/>
          <w:color w:val="000000"/>
          <w:sz w:val="22"/>
        </w:rPr>
        <w:t>— Repeated exposure may cause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Premature aging of the skin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Skin cancer</w:t>
      </w:r>
    </w:p>
    <w:p>
      <w:pPr>
        <w:spacing w:before="0" w:after="0"/>
        <w:ind w:left="120"/>
        <w:jc w:val="both"/>
      </w:pPr>
      <w:r>
        <w:rPr>
          <w:rFonts w:ascii="Times New Roman" w:hAnsi="Times New Roman"/>
          <w:b w:val="false"/>
          <w:i w:val="false"/>
          <w:color w:val="000000"/>
          <w:sz w:val="22"/>
        </w:rPr>
        <w:t>— Failure to wear protective eyewear may result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Severe burns to eyes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Long-term injury to eyes</w:t>
      </w:r>
    </w:p>
    <w:p>
      <w:pPr>
        <w:spacing w:before="0" w:after="0"/>
        <w:ind w:left="120"/>
        <w:jc w:val="both"/>
      </w:pPr>
      <w:r>
        <w:rPr>
          <w:rFonts w:ascii="Times New Roman" w:hAnsi="Times New Roman"/>
          <w:b w:val="false"/>
          <w:i w:val="false"/>
          <w:color w:val="000000"/>
          <w:sz w:val="22"/>
        </w:rPr>
        <w:t>— Medication or cosmetics may increase your sensitivity</w:t>
      </w:r>
    </w:p>
    <w:p>
      <w:pPr>
        <w:spacing w:before="0" w:after="0"/>
        <w:ind w:left="120"/>
        <w:jc w:val="center"/>
      </w:pPr>
      <w:r>
        <w:rPr>
          <w:rFonts w:ascii="Times New Roman" w:hAnsi="Times New Roman"/>
          <w:b w:val="false"/>
          <w:i w:val="false"/>
          <w:color w:val="000000"/>
          <w:sz w:val="1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warning sign as set forth in paragraph </w:t>
      </w:r>
      <w:hyperlink r:id="rId10">
        <w:r>
          <w:rPr>
            <w:rStyle w:val="Hyperlink"/>
            <w:rFonts w:ascii="Times New Roman" w:hAnsi="Times New Roman"/>
            <w:b w:val="false"/>
            <w:i w:val="false"/>
            <w:color w:val="000000"/>
            <w:sz w:val="22"/>
          </w:rPr>
          <w:t>496.5(1)</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posted in a conspicuous location readily visible to consumers entering the facility and in a conspicuous location within one meter of the tanning device readily visible to a person preparing to use the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tanning facility shall require each consumer to read the information in Appendices 1, 2, and 3 prior to the consumer’s initial exposure and annually thereafter. The consumer must sign a statement that the information has been read and understood. The information in Appendices 1, 2, and 3 must also be posted in each tanning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496.5(2)</w:t>
      </w:r>
      <w:r>
        <w:rPr>
          <w:rFonts w:ascii="Times New Roman" w:hAnsi="Times New Roman"/>
          <w:b w:val="false"/>
          <w:i w:val="false"/>
          <w:color w:val="000000"/>
          <w:sz w:val="22"/>
        </w:rPr>
        <w:t> </w:t>
      </w:r>
      <w:r>
        <w:rPr>
          <w:rFonts w:ascii="Times New Roman" w:hAnsi="Times New Roman"/>
          <w:b w:val="false"/>
          <w:i/>
          <w:color w:val="000000"/>
          <w:sz w:val="22"/>
        </w:rPr>
        <w:t xml:space="preserve">Federal certification. </w:t>
      </w:r>
      <w:r>
        <w:rPr>
          <w:rFonts w:ascii="Times New Roman" w:hAnsi="Times New Roman"/>
          <w:b w:val="false"/>
          <w:i w:val="false"/>
          <w:color w:val="000000"/>
          <w:sz w:val="22"/>
        </w:rPr>
        <w:t xml:space="preserve">Only tanning devices manufactured and certified under the provisions of 21 CFR section 1040.20 may be used in tanning facilities. Compliance is based on the standard in effect at the time of manufacture as shown on the device identification label required by 21 CFR sections 1010.2 and 1010.3. Labeling shall be in accordance with 21 CFR section 1040.20(d).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496.5(3)</w:t>
      </w:r>
      <w:r>
        <w:rPr>
          <w:rFonts w:ascii="Times New Roman" w:hAnsi="Times New Roman"/>
          <w:b w:val="false"/>
          <w:i w:val="false"/>
          <w:color w:val="000000"/>
          <w:sz w:val="22"/>
        </w:rPr>
        <w:t> </w:t>
      </w:r>
      <w:r>
        <w:rPr>
          <w:rFonts w:ascii="Times New Roman" w:hAnsi="Times New Roman"/>
          <w:b w:val="false"/>
          <w:i/>
          <w:color w:val="000000"/>
          <w:sz w:val="22"/>
        </w:rPr>
        <w:t xml:space="preserve">Tanning device timers. </w:t>
      </w:r>
      <w:r>
        <w:rPr>
          <w:rFonts w:ascii="Times New Roman" w:hAnsi="Times New Roman"/>
          <w:b w:val="false"/>
          <w:i w:val="false"/>
          <w:color w:val="000000"/>
          <w:sz w:val="22"/>
        </w:rPr>
        <w:t>Each tanning device shall have a timer that complies with 21 CFR section 1040.20(c). Each tanning device must have a method of remote timing so consumers cannot control their own exposure time. Tokens for token timers shall not be issued to any consumer in quantities greater than the device manufacturer’s maximum recommended exposure time for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496.5(4)</w:t>
      </w:r>
      <w:r>
        <w:rPr>
          <w:rFonts w:ascii="Times New Roman" w:hAnsi="Times New Roman"/>
          <w:b w:val="false"/>
          <w:i w:val="false"/>
          <w:color w:val="000000"/>
          <w:sz w:val="22"/>
        </w:rPr>
        <w:t> </w:t>
      </w:r>
      <w:r>
        <w:rPr>
          <w:rFonts w:ascii="Times New Roman" w:hAnsi="Times New Roman"/>
          <w:b w:val="false"/>
          <w:i/>
          <w:color w:val="000000"/>
          <w:sz w:val="22"/>
        </w:rPr>
        <w:t xml:space="preserve">Temperature limits. </w:t>
      </w:r>
      <w:r>
        <w:rPr>
          <w:rFonts w:ascii="Times New Roman" w:hAnsi="Times New Roman"/>
          <w:b w:val="false"/>
          <w:i w:val="false"/>
          <w:color w:val="000000"/>
          <w:sz w:val="22"/>
        </w:rPr>
        <w:t>The operator shall ensure that the facility’s interior temperature does not exceed 100 degrees F or 38 degrees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496.5(5)</w:t>
      </w:r>
      <w:r>
        <w:rPr>
          <w:rFonts w:ascii="Times New Roman" w:hAnsi="Times New Roman"/>
          <w:b w:val="false"/>
          <w:i w:val="false"/>
          <w:color w:val="000000"/>
          <w:sz w:val="22"/>
        </w:rPr>
        <w:t> </w:t>
      </w:r>
      <w:r>
        <w:rPr>
          <w:rFonts w:ascii="Times New Roman" w:hAnsi="Times New Roman"/>
          <w:b w:val="false"/>
          <w:i/>
          <w:color w:val="000000"/>
          <w:sz w:val="22"/>
        </w:rPr>
        <w:t xml:space="preserve">Condition of tanning devices. </w:t>
      </w:r>
      <w:r>
        <w:rPr>
          <w:rFonts w:ascii="Times New Roman" w:hAnsi="Times New Roman"/>
          <w:b w:val="false"/>
          <w:i w:val="false"/>
          <w:color w:val="000000"/>
          <w:sz w:val="22"/>
        </w:rPr>
        <w:t>The tanning devices shall be maintained in good repair and comply with all state and local electrical code requirements, and include physical barriers to protect consumers from injury induced by falling against or breaking the lamps.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496.5(6)</w:t>
      </w:r>
      <w:r>
        <w:rPr>
          <w:rFonts w:ascii="Times New Roman" w:hAnsi="Times New Roman"/>
          <w:b w:val="false"/>
          <w:i w:val="false"/>
          <w:color w:val="000000"/>
          <w:sz w:val="22"/>
        </w:rPr>
        <w:t> </w:t>
      </w:r>
      <w:r>
        <w:rPr>
          <w:rFonts w:ascii="Times New Roman" w:hAnsi="Times New Roman"/>
          <w:b w:val="false"/>
          <w:i/>
          <w:color w:val="000000"/>
          <w:sz w:val="22"/>
        </w:rPr>
        <w:t xml:space="preserve">Stand-up booths. </w:t>
      </w:r>
      <w:r>
        <w:rPr>
          <w:rFonts w:ascii="Times New Roman" w:hAnsi="Times New Roman"/>
          <w:b w:val="false"/>
          <w:i w:val="false"/>
          <w:color w:val="000000"/>
          <w:sz w:val="22"/>
        </w:rPr>
        <w:t>Additionally, stand-up booths shall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Utilizing physical barriers (e.g., handrails) or other means (floor markings) to indicate the proper exposure distance between ultraviolet lamps and the consumer’s skin.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withstand the stress of use and the impact of a falling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Utilizing rigid construction, with doors that open outwardly, and with handrails and nonslip floors.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496.5(7)</w:t>
      </w:r>
      <w:r>
        <w:rPr>
          <w:rFonts w:ascii="Times New Roman" w:hAnsi="Times New Roman"/>
          <w:b w:val="false"/>
          <w:i w:val="false"/>
          <w:color w:val="000000"/>
          <w:sz w:val="22"/>
        </w:rPr>
        <w:t> </w:t>
      </w:r>
      <w:r>
        <w:rPr>
          <w:rFonts w:ascii="Times New Roman" w:hAnsi="Times New Roman"/>
          <w:b w:val="false"/>
          <w:i/>
          <w:color w:val="000000"/>
          <w:sz w:val="22"/>
        </w:rPr>
        <w:t xml:space="preserve">Protective eyewear.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Eyewear shall not be reused by another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Protective eyewear shall meet the criteria of 21 CFR section 1040.20(c)(4).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Protective eyewear shall not be altered in any manner that would change its use as intended by the manufacturer (e.g., removal of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tanning facility operator shall verify that a consumer has protective eyewear in accordance with this subrule and not allow a consumer to use a tanning device if that consumer does not use the protective eyewear. The operator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Ask to see the eyewear before the consumer enters the tanning room;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disposable eyewear in the tanning room at all times and post a sign stating that the disposable eyewear is available and has to be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tanning facility operator shall instruct the consumer in the proper utilization of the protective eyewear.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496.5(8)</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trained operator must be present when a tanning device is operated and within hearing distance to allow the consumer to easily summon help if necessary. If the operator is not in the immediate vicinity during use, the consumer must be able to summon help through use of an audible device such as an intercom or buzzer and the operator or emergency personnel must be able to reach the consumer within a reasonable amount of time after being summoned.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facility’s permit will be displayed pursuant to Iowa Code section </w:t>
      </w:r>
      <w:hyperlink r:id="rId11">
        <w:r>
          <w:rPr>
            <w:rStyle w:val="Hyperlink"/>
            <w:rFonts w:ascii="Times New Roman" w:hAnsi="Times New Roman"/>
            <w:b w:val="false"/>
            <w:i w:val="false"/>
            <w:color w:val="000000"/>
            <w:sz w:val="22"/>
          </w:rPr>
          <w:t>136D.6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each consumer’s total number of tanning visits and tanning times, exposure lengths in minutes, times and dates of the exposure, and any injuries or illness resulting from the use of a tanning device must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tanning injury not requiring a physician’s care and any resulting changes in tanning sessions shall be noted in the consumer’s file. A written report of any tanning injury requiring a physician’s care shall be provided to the department within five working days of its occurrence or operator’s notice thereof.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affected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tanning facility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nature of the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health care provider treating the affected individual,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information considered relevant to the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Defective or burned-out lamps or filters shall be replaced with a type intended for use in that device as specified on the product label on the tanning device or with lamps or filters that are “equivalent” under 21 CFR Section 1040.20, and policies applicable at the time of lamp manufacture.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Ultraviolet lamps and bulbs that are not otherwise defective or damaged will be replaced at such frequency or after such duration of use as is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Contact surfaces of tanning devices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Cleansed by the operator with a cleansing agent between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by a nonreusable protective material during each use;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Cleansed by the consumer after use, provided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operator instructs the consumer annually on how to properly cleanse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consumer annually signs a statement that the consumer agrees to cleanse the unit after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Signs are posted in each tanning room reminding the consumer to cleanse the tanning unit after each use and instructing the proper way to cleanse the unit;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operator cleanses the tanning unit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 or documentation required by this chapter must be maintained in the tanning facility for a minimum of two years. If maintained electronically, such records must be retrievable as a printed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operator shall limit a consumer’s exposure to the maximum exposure frequency and session duration recommended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a tanning device is being used, no other person can be allowed in the tanning device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“Unlimited” tanning packages cannot be advertised or promoted unless tanning frequency limits set by the manufacturer are included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496.5(9)</w:t>
      </w:r>
      <w:r>
        <w:rPr>
          <w:rFonts w:ascii="Times New Roman" w:hAnsi="Times New Roman"/>
          <w:b w:val="false"/>
          <w:i w:val="false"/>
          <w:color w:val="000000"/>
          <w:sz w:val="22"/>
        </w:rPr>
        <w:t> </w:t>
      </w:r>
      <w:r>
        <w:rPr>
          <w:rFonts w:ascii="Times New Roman" w:hAnsi="Times New Roman"/>
          <w:b w:val="false"/>
          <w:i/>
          <w:color w:val="000000"/>
          <w:sz w:val="22"/>
        </w:rPr>
        <w:t xml:space="preserve">Training of operators.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must satisfactorily complete a training program approved by the department prior to operating a tanning device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 on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correct operation of the tanning facility and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determination of skin type of consumers and appropriate duration of exposure to tanning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Recognition of reaction or overexposure;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Manufacturer’s procedures for operation and maintenance of tanning devices;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Competency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 and managers must complete formal training approved by the department. All owners and managers must satisfactorily pass a certification examination approved by the department before operating a tanning facility or training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 and managers are responsible to train operators in the above topics and to provide review as necessary. Operators will be questioned during inspections as to the level of their understanding and competency in operating the tanning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training for owner/managers and employees must be maintained in the tanning facility and available for inspection. The employee record should be the original test signed by the employee, the date, and a statement signifying that all answers have been completed by the employee and without prior knowledge of the scoring 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Operators shall be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Training and testing will be completed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496.5(10)</w:t>
      </w:r>
      <w:r>
        <w:rPr>
          <w:rFonts w:ascii="Times New Roman" w:hAnsi="Times New Roman"/>
          <w:b w:val="false"/>
          <w:i w:val="false"/>
          <w:color w:val="000000"/>
          <w:sz w:val="22"/>
        </w:rPr>
        <w:t> </w:t>
      </w:r>
      <w:r>
        <w:rPr>
          <w:rFonts w:ascii="Times New Roman" w:hAnsi="Times New Roman"/>
          <w:b w:val="false"/>
          <w:i/>
          <w:color w:val="000000"/>
          <w:sz w:val="22"/>
        </w:rPr>
        <w:t xml:space="preserve">Promotional materials. </w:t>
      </w:r>
      <w:r>
        <w:rPr>
          <w:rFonts w:ascii="Times New Roman" w:hAnsi="Times New Roman"/>
          <w:b w:val="false"/>
          <w:i w:val="false"/>
          <w:color w:val="000000"/>
          <w:sz w:val="22"/>
        </w:rPr>
        <w:t>A tanning facility shall not claim, or distribute materials claiming, that tanning devices are safe, that tanning devices are free from risk, or that use of the device will result in medical or health benefits. The only claim that may be made is that the device is for cosmetic use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496.5(11)</w:t>
      </w:r>
      <w:r>
        <w:rPr>
          <w:rFonts w:ascii="Times New Roman" w:hAnsi="Times New Roman"/>
          <w:b w:val="false"/>
          <w:i w:val="false"/>
          <w:color w:val="000000"/>
          <w:sz w:val="22"/>
        </w:rPr>
        <w:t> </w:t>
      </w:r>
      <w:r>
        <w:rPr>
          <w:rFonts w:ascii="Times New Roman" w:hAnsi="Times New Roman"/>
          <w:b w:val="false"/>
          <w:i/>
          <w:color w:val="000000"/>
          <w:sz w:val="22"/>
        </w:rPr>
        <w:t xml:space="preserve">Electronically controlled facilities. </w:t>
      </w:r>
      <w:r>
        <w:rPr>
          <w:rFonts w:ascii="Times New Roman" w:hAnsi="Times New Roman"/>
          <w:b w:val="false"/>
          <w:i w:val="false"/>
          <w:color w:val="000000"/>
          <w:sz w:val="22"/>
        </w:rPr>
        <w:t>Electronically controlled facilities are facilities that rely on electronic means to monitor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Entry into the facility is allowed by card only. Only one individual may enter under each card. The card is specifically activated for tanning use if the facility offers other activities and tanning will not activate if the card is not programmed for tanning. The card will not activate if two individuals are in the tanning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Police and all emergency services will have access to the facility through a key box located outside the entrance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consumer must sign a tanning agreement stating the number of minutes per session, that the consumer agrees to wear protective eyewear, that the consumer will cleanse the unit after tanning, and that the consumer is aware of the emergency access in each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card will be programmed for the number of minutes the consumer is allowed to tan and may be reprogrammed for an increase in minutes per session only after the consumer has reviewed and re-signed the tanning agreement. The card will be deactivated after 30 consecutive days without consumer access such that the consumer will then reapply to access the tanning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operator will demonstrate to each consumer how to properly cleanse the unit after tanning, including the top, bottom, and handles. A sign will be placed in each room explaining the cleansing process. The operator will cleanse the units at least once per day when they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Free disposable eyewear will be placed in each room along with a sign stating that the disposable eyewear is available and must be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call button or device that calls the operator or emergency personnel will be placed in each tanning room conveniently located within reach of the tanning bed.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annual inspections, the inspector may ask any consumer about any of the above processes.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481—496.6</w:t>
      </w:r>
      <w:r>
        <w:rPr>
          <w:rFonts w:ascii="Times New Roman" w:hAnsi="Times New Roman"/>
          <w:b/>
          <w:i w:val="false"/>
          <w:color w:val="000000"/>
          <w:sz w:val="22"/>
        </w:rPr>
        <w:t xml:space="preserve">(136D) </w:t>
      </w:r>
      <w:r>
        <w:rPr>
          <w:rFonts w:ascii="Times New Roman" w:hAnsi="Times New Roman"/>
          <w:b/>
          <w:i w:val="false"/>
          <w:color w:val="000000"/>
          <w:sz w:val="22"/>
        </w:rPr>
        <w:t xml:space="preserve">Inspections, violations and injunctions.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496.6(1)</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The director or an authorized agent has access to any tanning facility as authorized by Iowa Code section </w:t>
      </w:r>
      <w:hyperlink r:id="rId12">
        <w:r>
          <w:rPr>
            <w:rStyle w:val="Hyperlink"/>
            <w:rFonts w:ascii="Times New Roman" w:hAnsi="Times New Roman"/>
            <w:b w:val="false"/>
            <w:i w:val="false"/>
            <w:color w:val="000000"/>
            <w:sz w:val="22"/>
          </w:rPr>
          <w:t>136D.8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496.6(2)</w:t>
      </w:r>
      <w:r>
        <w:rPr>
          <w:rFonts w:ascii="Times New Roman" w:hAnsi="Times New Roman"/>
          <w:b w:val="false"/>
          <w:i w:val="false"/>
          <w:color w:val="000000"/>
          <w:sz w:val="22"/>
        </w:rPr>
        <w:t> </w:t>
      </w:r>
      <w:r>
        <w:rPr>
          <w:rFonts w:ascii="Times New Roman" w:hAnsi="Times New Roman"/>
          <w:b w:val="false"/>
          <w:i/>
          <w:color w:val="000000"/>
          <w:sz w:val="22"/>
        </w:rPr>
        <w:t xml:space="preserve">Civil penalty and enforcement. </w:t>
      </w:r>
      <w:r>
        <w:rPr>
          <w:rFonts w:ascii="Times New Roman" w:hAnsi="Times New Roman"/>
          <w:b w:val="false"/>
          <w:i w:val="false"/>
          <w:color w:val="000000"/>
          <w:sz w:val="22"/>
        </w:rPr>
        <w:t xml:space="preserve">The department may take legal action as provided in Iowa Code sections </w:t>
      </w:r>
      <w:hyperlink r:id="rId13">
        <w:r>
          <w:rPr>
            <w:rStyle w:val="Hyperlink"/>
            <w:rFonts w:ascii="Times New Roman" w:hAnsi="Times New Roman"/>
            <w:b w:val="false"/>
            <w:i w:val="false"/>
            <w:color w:val="000000"/>
            <w:sz w:val="22"/>
          </w:rPr>
          <w:t>136D.8(3)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136D.9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take the following steps or use county ordinances or any other applicable ordinances, resolutions, rules or regulations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 each section of the Iowa Code or rules violated and any civil penalty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Set a reasonable time limit, not to exceed 30 days from the receipt of the notice, within which the permit holder must respond with the corrective action plan and, if applicable, any reasons why the civil penalty should not be imposed or to request a contested case hearing pursuant to </w:t>
      </w:r>
      <w:hyperlink r:id="rId15">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corrective action plan and approve it or require that it be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1</w:t>
      </w:r>
    </w:p>
    <w:p>
      <w:pPr>
        <w:spacing w:before="0" w:after="0"/>
        <w:ind w:left="120"/>
        <w:jc w:val="center"/>
      </w:pPr>
      <w:r>
        <w:rPr>
          <w:rFonts w:ascii="Times New Roman" w:hAnsi="Times New Roman"/>
          <w:b w:val="false"/>
          <w:i w:val="false"/>
          <w:color w:val="000000"/>
          <w:sz w:val="22"/>
        </w:rPr>
        <w:t>POTENTIAL PHOTOSENSITIZING AGENTS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Not all individuals who use or take these agents will experience a photosensitive reaction or the same degree of photosensitive reaction. An individual who experiences a reaction on one occasion will not necessarily experience it again or every time.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Names of agents should be considered only as examples. They do not represent all the names under which a product may be sold. A more complete list is available from the facility operator.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If you are using an agent in any of these classes, you should reduce UV exposure even if your particular medication is not listed.</w:t>
      </w:r>
      <w:r>
        <w:br/>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Acne treatment (Retinoic acid, Retin-A) Psoralens (5-Methoxypsoralen, 8-Methoxypsoralen, 4,5,8-trimethyl-psoralen)</w:t>
      </w:r>
    </w:p>
    <w:p>
      <w:pPr>
        <w:spacing w:before="0" w:after="0"/>
        <w:ind w:left="120"/>
        <w:jc w:val="both"/>
      </w:pPr>
      <w:r>
        <w:rPr>
          <w:rFonts w:ascii="Times New Roman" w:hAnsi="Times New Roman"/>
          <w:b w:val="false"/>
          <w:i w:val="false"/>
          <w:color w:val="000000"/>
          <w:sz w:val="22"/>
        </w:rPr>
        <w:t>Antibacterials (deodorant bar soaps, antiseptics, cosmetics, halogenated carbanilides, halogenated phenols, halogenated salicylanilides, bithionol, chlorhexidine, hexachlorophene)</w:t>
      </w:r>
    </w:p>
    <w:p>
      <w:pPr>
        <w:spacing w:before="0" w:after="0"/>
        <w:ind w:left="120"/>
        <w:jc w:val="both"/>
      </w:pPr>
      <w:r>
        <w:rPr>
          <w:rFonts w:ascii="Times New Roman" w:hAnsi="Times New Roman"/>
          <w:b w:val="false"/>
          <w:i w:val="false"/>
          <w:color w:val="000000"/>
          <w:sz w:val="22"/>
        </w:rPr>
        <w:t>Antibiotics, anti-infectives (Tetracyclines)</w:t>
      </w:r>
    </w:p>
    <w:p>
      <w:pPr>
        <w:spacing w:before="0" w:after="0"/>
        <w:ind w:left="120"/>
        <w:jc w:val="both"/>
      </w:pPr>
      <w:r>
        <w:rPr>
          <w:rFonts w:ascii="Times New Roman" w:hAnsi="Times New Roman"/>
          <w:b w:val="false"/>
          <w:i w:val="false"/>
          <w:color w:val="000000"/>
          <w:sz w:val="22"/>
        </w:rPr>
        <w:t>Anticonvulsants (carbamazepine, trimethadione, promethazine)</w:t>
      </w:r>
    </w:p>
    <w:p>
      <w:pPr>
        <w:spacing w:before="0" w:after="0"/>
        <w:ind w:left="120"/>
        <w:jc w:val="both"/>
      </w:pPr>
      <w:r>
        <w:rPr>
          <w:rFonts w:ascii="Times New Roman" w:hAnsi="Times New Roman"/>
          <w:b w:val="false"/>
          <w:i w:val="false"/>
          <w:color w:val="000000"/>
          <w:sz w:val="22"/>
        </w:rPr>
        <w:t>Antidepressants (amitriptyline, Desipramine, Imipramine, Nortiptyline, Protiptyline), Tranquilizers, anti-emetics (Phenothiazines)</w:t>
      </w:r>
    </w:p>
    <w:p>
      <w:pPr>
        <w:spacing w:before="0" w:after="0"/>
        <w:ind w:left="120"/>
        <w:jc w:val="both"/>
      </w:pPr>
      <w:r>
        <w:rPr>
          <w:rFonts w:ascii="Times New Roman" w:hAnsi="Times New Roman"/>
          <w:b w:val="false"/>
          <w:i w:val="false"/>
          <w:color w:val="000000"/>
          <w:sz w:val="22"/>
        </w:rPr>
        <w:t>Antidiabetics (glucose-lowering agents) (sulfonylureas, oral antidiabetics, hypoglycemics)</w:t>
      </w:r>
    </w:p>
    <w:p>
      <w:pPr>
        <w:spacing w:before="0" w:after="0"/>
        <w:ind w:left="120"/>
        <w:jc w:val="both"/>
      </w:pPr>
      <w:r>
        <w:rPr>
          <w:rFonts w:ascii="Times New Roman" w:hAnsi="Times New Roman"/>
          <w:b w:val="false"/>
          <w:i w:val="false"/>
          <w:color w:val="000000"/>
          <w:sz w:val="22"/>
        </w:rPr>
        <w:t>Antihistamines (diphenhydramine, promethazine, triprolidine, chlorpheniramine)</w:t>
      </w:r>
    </w:p>
    <w:p>
      <w:pPr>
        <w:spacing w:before="0" w:after="0"/>
        <w:ind w:left="120"/>
        <w:jc w:val="both"/>
      </w:pPr>
      <w:r>
        <w:rPr>
          <w:rFonts w:ascii="Times New Roman" w:hAnsi="Times New Roman"/>
          <w:b w:val="false"/>
          <w:i w:val="false"/>
          <w:color w:val="000000"/>
          <w:sz w:val="22"/>
        </w:rPr>
        <w:t>Anti-inflammatory (Piroxicam), Non-steroidal anti-inflammatory drugs (Ibuprofen, Naproxen, Piroxicam)</w:t>
      </w:r>
    </w:p>
    <w:p>
      <w:pPr>
        <w:spacing w:before="0" w:after="0"/>
        <w:ind w:left="120"/>
        <w:jc w:val="both"/>
      </w:pPr>
      <w:r>
        <w:rPr>
          <w:rFonts w:ascii="Times New Roman" w:hAnsi="Times New Roman"/>
          <w:b w:val="false"/>
          <w:i w:val="false"/>
          <w:color w:val="000000"/>
          <w:sz w:val="22"/>
        </w:rPr>
        <w:t>Antimicrobials (griseofulvin), Sulfonamides (“Sulfa drugs,” antimicrobials, anti-infectives)</w:t>
      </w:r>
    </w:p>
    <w:p>
      <w:pPr>
        <w:spacing w:before="0" w:after="0"/>
        <w:ind w:left="120"/>
        <w:jc w:val="both"/>
      </w:pPr>
      <w:r>
        <w:rPr>
          <w:rFonts w:ascii="Times New Roman" w:hAnsi="Times New Roman"/>
          <w:b w:val="false"/>
          <w:i w:val="false"/>
          <w:color w:val="000000"/>
          <w:sz w:val="22"/>
        </w:rPr>
        <w:t>Atropine-like drugs (anticholinergics, antiparkinsonism drugs, antispasmodics, synthetic muscle relaxants)</w:t>
      </w:r>
    </w:p>
    <w:p>
      <w:pPr>
        <w:spacing w:before="0" w:after="0"/>
        <w:ind w:left="120"/>
        <w:jc w:val="both"/>
      </w:pPr>
      <w:r>
        <w:rPr>
          <w:rFonts w:ascii="Times New Roman" w:hAnsi="Times New Roman"/>
          <w:b w:val="false"/>
          <w:i w:val="false"/>
          <w:color w:val="000000"/>
          <w:sz w:val="22"/>
        </w:rPr>
        <w:t>Coal tar and derivatives (Denorex, Tegrin, petroleum products used for psoriasis and chronic eczema and in shampoos)</w:t>
      </w:r>
    </w:p>
    <w:p>
      <w:pPr>
        <w:spacing w:before="0" w:after="0"/>
        <w:ind w:left="120"/>
        <w:jc w:val="both"/>
      </w:pPr>
      <w:r>
        <w:rPr>
          <w:rFonts w:ascii="Times New Roman" w:hAnsi="Times New Roman"/>
          <w:b w:val="false"/>
          <w:i w:val="false"/>
          <w:color w:val="000000"/>
          <w:sz w:val="22"/>
        </w:rPr>
        <w:t>Contraceptives, oral and estrogens (birth control pills, estrogens, progesterones)</w:t>
      </w:r>
    </w:p>
    <w:p>
      <w:pPr>
        <w:spacing w:before="0" w:after="0"/>
        <w:ind w:left="120"/>
        <w:jc w:val="both"/>
      </w:pPr>
      <w:r>
        <w:rPr>
          <w:rFonts w:ascii="Times New Roman" w:hAnsi="Times New Roman"/>
          <w:b w:val="false"/>
          <w:i w:val="false"/>
          <w:color w:val="000000"/>
          <w:sz w:val="22"/>
        </w:rPr>
        <w:t>Dyes (used in cosmetic ingredients, acridine, anthracene, cosin (lipstick), erythrosine, fluorescein, methyl violet, methylene blue, rose bengal)</w:t>
      </w:r>
    </w:p>
    <w:p>
      <w:pPr>
        <w:spacing w:before="0" w:after="0"/>
        <w:ind w:left="120"/>
        <w:jc w:val="both"/>
      </w:pPr>
      <w:r>
        <w:rPr>
          <w:rFonts w:ascii="Times New Roman" w:hAnsi="Times New Roman"/>
          <w:b w:val="false"/>
          <w:i w:val="false"/>
          <w:color w:val="000000"/>
          <w:sz w:val="22"/>
        </w:rPr>
        <w:t>Perfumes and toilet articles (musk ambrette, oil of bergamot, oil of cedar, oil of citron, oil of lavender, oil of lemon, oil of lime, oil of rosemary, oil of sandalwood)</w:t>
      </w:r>
    </w:p>
    <w:p>
      <w:pPr>
        <w:spacing w:before="0" w:after="0"/>
        <w:ind w:left="120"/>
        <w:jc w:val="both"/>
      </w:pPr>
      <w:r>
        <w:rPr>
          <w:rFonts w:ascii="Times New Roman" w:hAnsi="Times New Roman"/>
          <w:b w:val="false"/>
          <w:i w:val="false"/>
          <w:color w:val="000000"/>
          <w:sz w:val="22"/>
        </w:rPr>
        <w:t>Thiazide diuretics (“water pills”)</w:t>
      </w:r>
    </w:p>
    <w:p>
      <w:pPr>
        <w:spacing w:before="0" w:after="0"/>
        <w:ind w:left="120"/>
        <w:jc w:val="center"/>
      </w:pPr>
      <w:r>
        <w:rPr>
          <w:rFonts w:ascii="Times New Roman" w:hAnsi="Times New Roman"/>
          <w:b w:val="false"/>
          <w:i w:val="false"/>
          <w:color w:val="000000"/>
          <w:sz w:val="22"/>
        </w:rPr>
        <w:t>Appendix 2</w:t>
      </w:r>
    </w:p>
    <w:tbl>
      <w:tblPr>
        <w:tblW w:w="5000" w:type="pct"/>
        <w:tblCellSpacing w:w="0" w:type="auto"/>
        <w:tblBorders>
          <w:top w:val="none"/>
          <w:left w:val="none"/>
          <w:bottom w:val="none"/>
          <w:right w:val="none"/>
          <w:insideH w:val="none"/>
          <w:insideV w:val="none"/>
        </w:tblBorders>
        <w:tblLayout w:type="fixed"/>
      </w:tblPr>
      <w:tblGrid>
        <w:gridCol w:w="11189"/>
      </w:tblGrid>
      <w:tr>
        <w:trPr>
          <w:trHeight w:val="240" w:hRule="atLeast"/>
        </w:trPr>
        <w:tc>
          <w:tcPr>
            <w:tcW w:w="1118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SUN-REACTIVE SKIN TYPES USED IN CLINICAL PRACTICE</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490"/>
        <w:gridCol w:w="4850"/>
        <w:gridCol w:w="4850"/>
      </w:tblGrid>
      <w:tr>
        <w:trPr>
          <w:trHeight w:val="69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SKIN</w:t>
            </w:r>
          </w:p>
          <w:p>
            <w:pPr>
              <w:spacing w:before="0" w:after="0"/>
              <w:ind w:left="160"/>
              <w:jc w:val="center"/>
            </w:pPr>
            <w:r>
              <w:rPr>
                <w:rFonts w:ascii="Times New Roman" w:hAnsi="Times New Roman"/>
                <w:b w:val="false"/>
                <w:i w:val="false"/>
                <w:color w:val="000000"/>
                <w:sz w:val="18"/>
              </w:rPr>
              <w:t>TYPE</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8"/>
              </w:rPr>
              <w:t>SKIN REACTIONS TO</w:t>
            </w:r>
          </w:p>
          <w:p>
            <w:pPr>
              <w:spacing w:before="0" w:after="0"/>
              <w:ind w:left="160"/>
              <w:jc w:val="center"/>
            </w:pPr>
            <w:r>
              <w:rPr>
                <w:rFonts w:ascii="Times New Roman" w:hAnsi="Times New Roman"/>
                <w:b w:val="false"/>
                <w:i w:val="false"/>
                <w:color w:val="000000"/>
                <w:sz w:val="18"/>
              </w:rPr>
              <w:t xml:space="preserve">SOLAR RADIATION </w:t>
            </w:r>
            <w:r>
              <w:rPr>
                <w:rFonts w:ascii="Times New Roman" w:hAnsi="Times New Roman"/>
                <w:b w:val="false"/>
                <w:i w:val="false"/>
                <w:color w:val="000000"/>
                <w:sz w:val="18"/>
                <w:vertAlign w:val="superscript"/>
              </w:rPr>
              <w:t>(a)</w:t>
            </w:r>
          </w:p>
          <w:p>
            <w:pPr>
              <w:spacing w:before="0" w:after="0"/>
              <w:ind w:left="160"/>
              <w:jc w:val="center"/>
            </w:pPr>
            <w:r>
              <w:rPr>
                <w:rFonts w:ascii="Times New Roman" w:hAnsi="Times New Roman"/>
                <w:b w:val="false"/>
                <w:i w:val="false"/>
                <w:color w:val="000000"/>
                <w:sz w:val="18"/>
              </w:rPr>
              <w:t>EXAMPLES</w:t>
            </w:r>
          </w:p>
        </w:tc>
        <w:tc>
          <w:tcPr>
            <w:tcW w:w="48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 </w:t>
            </w:r>
          </w:p>
          <w:p>
            <w:pPr>
              <w:spacing w:before="0" w:after="0"/>
              <w:ind w:left="160"/>
              <w:jc w:val="center"/>
            </w:pPr>
            <w:r>
              <w:rPr>
                <w:rFonts w:ascii="Times New Roman" w:hAnsi="Times New Roman"/>
                <w:b w:val="false"/>
                <w:i w:val="false"/>
                <w:color w:val="000000"/>
                <w:sz w:val="18"/>
              </w:rPr>
              <w:t>EXAMPLES</w:t>
            </w:r>
          </w:p>
        </w:tc>
      </w:tr>
      <w:tr>
        <w:trPr>
          <w:trHeight w:val="45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Always burns easily and severely (painful burn). Tans little or none and peels.</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People most often with fair skin, blue eyes, freckles. Unexposed skin is white.</w:t>
            </w:r>
          </w:p>
        </w:tc>
      </w:tr>
      <w:tr>
        <w:trPr>
          <w:trHeight w:val="64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II</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Usually burns easily and severely (painful burn). Tans minimally or lightly, also peels.</w:t>
            </w:r>
          </w:p>
        </w:tc>
        <w:tc>
          <w:tcPr>
            <w:tcW w:w="48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People most often with fair skin; red or</w:t>
            </w:r>
          </w:p>
          <w:p>
            <w:pPr>
              <w:spacing w:before="0" w:after="0"/>
              <w:ind w:left="160"/>
              <w:jc w:val="left"/>
            </w:pPr>
            <w:r>
              <w:rPr>
                <w:rFonts w:ascii="Times New Roman" w:hAnsi="Times New Roman"/>
                <w:b w:val="false"/>
                <w:i w:val="false"/>
                <w:color w:val="000000"/>
                <w:sz w:val="18"/>
              </w:rPr>
              <w:t>blonde hair; blue, hazel or even brown</w:t>
            </w:r>
          </w:p>
          <w:p>
            <w:pPr>
              <w:spacing w:before="0" w:after="0"/>
              <w:ind w:left="160"/>
              <w:jc w:val="left"/>
            </w:pPr>
            <w:r>
              <w:rPr>
                <w:rFonts w:ascii="Times New Roman" w:hAnsi="Times New Roman"/>
                <w:b w:val="false"/>
                <w:i w:val="false"/>
                <w:color w:val="000000"/>
                <w:sz w:val="18"/>
              </w:rPr>
              <w:t>eyes. Unexposed skin is white.</w:t>
            </w:r>
          </w:p>
        </w:tc>
      </w:tr>
      <w:tr>
        <w:trPr>
          <w:trHeight w:val="45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III</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Burns moderately and tans about</w:t>
            </w:r>
          </w:p>
          <w:p>
            <w:pPr>
              <w:spacing w:before="0" w:after="0"/>
              <w:ind w:left="160"/>
              <w:jc w:val="left"/>
            </w:pPr>
            <w:r>
              <w:rPr>
                <w:rFonts w:ascii="Times New Roman" w:hAnsi="Times New Roman"/>
                <w:b w:val="false"/>
                <w:i w:val="false"/>
                <w:color w:val="000000"/>
                <w:sz w:val="18"/>
              </w:rPr>
              <w:t>average.</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Normal average Caucasoid. Unexposed skin is white.</w:t>
            </w:r>
          </w:p>
        </w:tc>
      </w:tr>
      <w:tr>
        <w:trPr>
          <w:trHeight w:val="645"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IV</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Burns minimally, tans easily, and above average with each exposure. Exhibits IPD (immediate pigment darkening) reaction.</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People with white or light brown skin, dark skin, dark brown hair, dark eyes. Unexposed skin is brown.</w:t>
            </w:r>
          </w:p>
        </w:tc>
      </w:tr>
      <w:tr>
        <w:trPr>
          <w:trHeight w:val="450" w:hRule="atLeast"/>
        </w:trPr>
        <w:tc>
          <w:tcPr>
            <w:tcW w:w="149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V</w:t>
            </w:r>
          </w:p>
        </w:tc>
        <w:tc>
          <w:tcPr>
            <w:tcW w:w="485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Rarely burns, tans easily and substantially.</w:t>
            </w:r>
          </w:p>
          <w:p>
            <w:pPr>
              <w:spacing w:before="0" w:after="0"/>
              <w:ind w:left="160"/>
              <w:jc w:val="left"/>
            </w:pPr>
            <w:r>
              <w:rPr>
                <w:rFonts w:ascii="Times New Roman" w:hAnsi="Times New Roman"/>
                <w:b w:val="false"/>
                <w:i w:val="false"/>
                <w:color w:val="000000"/>
                <w:sz w:val="18"/>
              </w:rPr>
              <w:t>Always exhibits IPD reaction.</w:t>
            </w:r>
          </w:p>
        </w:tc>
        <w:tc>
          <w:tcPr>
            <w:tcW w:w="485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Unexposed skin is brown.</w:t>
            </w:r>
          </w:p>
        </w:tc>
      </w:tr>
      <w:tr>
        <w:trPr>
          <w:trHeight w:val="450" w:hRule="atLeast"/>
        </w:trPr>
        <w:tc>
          <w:tcPr>
            <w:tcW w:w="149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VI</w:t>
            </w:r>
          </w:p>
        </w:tc>
        <w:tc>
          <w:tcPr>
            <w:tcW w:w="485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Never burns and tans profusely;</w:t>
            </w:r>
          </w:p>
          <w:p>
            <w:pPr>
              <w:spacing w:before="0" w:after="0"/>
              <w:ind w:left="160"/>
              <w:jc w:val="left"/>
            </w:pPr>
            <w:r>
              <w:rPr>
                <w:rFonts w:ascii="Times New Roman" w:hAnsi="Times New Roman"/>
                <w:b w:val="false"/>
                <w:i w:val="false"/>
                <w:color w:val="000000"/>
                <w:sz w:val="18"/>
              </w:rPr>
              <w:t>exhibits IPD reaction.</w:t>
            </w:r>
          </w:p>
        </w:tc>
        <w:tc>
          <w:tcPr>
            <w:tcW w:w="4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Unexposed skin is black.</w:t>
            </w:r>
          </w:p>
        </w:tc>
      </w:tr>
    </w:tbl>
    <w:p>
      <w:pPr>
        <w:spacing w:before="0" w:after="0"/>
        <w:ind w:left="120"/>
        <w:jc w:val="both"/>
      </w:pPr>
      <w:r>
        <w:rPr>
          <w:rFonts w:ascii="Times New Roman" w:hAnsi="Times New Roman"/>
          <w:b w:val="false"/>
          <w:i w:val="false"/>
          <w:color w:val="000000"/>
          <w:sz w:val="12"/>
        </w:rPr>
        <w:t>(a) Based in the first 45-60 minutes (= 2-3 minimum erythema dose) exposure of the summer sun (early June) at sea level</w:t>
      </w:r>
    </w:p>
    <w:p>
      <w:pPr>
        <w:spacing w:before="0" w:after="0"/>
        <w:ind w:left="120"/>
        <w:jc w:val="center"/>
      </w:pPr>
      <w:r>
        <w:rPr>
          <w:rFonts w:ascii="Times New Roman" w:hAnsi="Times New Roman"/>
          <w:b w:val="false"/>
          <w:i w:val="false"/>
          <w:color w:val="000000"/>
          <w:sz w:val="22"/>
        </w:rPr>
        <w:t>Appendix 3</w:t>
      </w:r>
    </w:p>
    <w:p>
      <w:pPr>
        <w:spacing w:before="0" w:after="0"/>
        <w:ind w:left="120"/>
        <w:jc w:val="center"/>
      </w:pPr>
      <w:r>
        <w:rPr>
          <w:rFonts w:ascii="Times New Roman" w:hAnsi="Times New Roman"/>
          <w:b w:val="false"/>
          <w:i w:val="false"/>
          <w:color w:val="000000"/>
          <w:sz w:val="22"/>
        </w:rPr>
        <w:t>POTENTIAL NEGATIVE HEALTH EFFECTS</w:t>
      </w:r>
    </w:p>
    <w:p>
      <w:pPr>
        <w:spacing w:before="0" w:after="0"/>
        <w:ind w:left="120"/>
        <w:jc w:val="center"/>
      </w:pPr>
      <w:r>
        <w:rPr>
          <w:rFonts w:ascii="Times New Roman" w:hAnsi="Times New Roman"/>
          <w:b w:val="false"/>
          <w:i w:val="false"/>
          <w:color w:val="000000"/>
          <w:sz w:val="22"/>
        </w:rPr>
        <w:t>RELATED TO ULTRAVIOLET EXPOSURE</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Increased risk of skin cancer later in life.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Increased risk of skin thickening, age spots, irregular pigmentation, and premature aging.</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Possibility of burning or rash, especially if using any of the potential photosensitizing drugs and agents. The consumer should consult a physician before using a tanning device if using medications, if there is a history of skin problems or if the consumer is especially sensitive to sunlight.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Increased risk of eye damage unless proper eyewear is worn. Iowa law requires the use of proper eyewear during tanning sessions.</w:t>
      </w:r>
    </w:p>
    <w:p>
      <w:pPr>
        <w:spacing w:before="0" w:after="0"/>
        <w:ind w:left="120"/>
        <w:jc w:val="center"/>
      </w:pPr>
      <w:r>
        <w:rPr>
          <w:rFonts w:ascii="Times New Roman" w:hAnsi="Times New Roman"/>
          <w:b w:val="false"/>
          <w:i w:val="false"/>
          <w:color w:val="000000"/>
          <w:sz w:val="22"/>
        </w:rPr>
        <w:t>TANNING SYSTEMS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Low-pressure tanning systems use a higher percentage of UVB rays that penetrate only the upper layer of skin and can cause burning more easily than high-pressure tanning systems. Low-pressure systems require more frequent sessions to maintain a tan.</w:t>
      </w:r>
      <w:r>
        <w:br/>
      </w:r>
      <w:r>
        <w:rPr>
          <w:rFonts w:ascii="Times New Roman" w:hAnsi="Times New Roman"/>
          <w:b w:val="false"/>
          <w:i w:val="false"/>
          <w:color w:val="000000"/>
          <w:sz w:val="22"/>
        </w:rPr>
        <w:t>High-intensity tanning systems use more lamps and shorter tanning sessions than low-intensity tanning systems. These are still classified as low-pressure systems.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High-pressure tanning systems use a higher percentage of UVA rays that penetrate more deeply and can permanently damage the lower layers of skin and increase the incidences of skin cancers. High-pressure systems require fewer and less frequent sessions to maintain a tan.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exposure schedule for each specific unit is shown on the labeling on the tanning unit. Iowa law requires the operator to limit the exposure of each consumer to the exposure schedule shown on the unit in which the consumer is tanning.</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136D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1/14/91, Notice 10/17/90—published 2/6/91, effective 3/13/91]</w:t>
      </w:r>
    </w:p>
    <w:p>
      <w:pPr>
        <w:spacing w:before="0" w:after="0"/>
        <w:ind w:left="120"/>
        <w:jc w:val="center"/>
      </w:pPr>
      <w:r>
        <w:rPr>
          <w:rFonts w:ascii="Times New Roman" w:hAnsi="Times New Roman"/>
          <w:b w:val="false"/>
          <w:i w:val="false"/>
          <w:color w:val="000000"/>
          <w:sz w:val="21"/>
        </w:rPr>
        <w:t>[Filed 9/14/92, Notice 8/5/92—published 9/30/92, effective 11/4/92]</w:t>
      </w:r>
    </w:p>
    <w:p>
      <w:pPr>
        <w:spacing w:before="0" w:after="0"/>
        <w:ind w:left="120"/>
        <w:jc w:val="center"/>
      </w:pPr>
      <w:r>
        <w:rPr>
          <w:rFonts w:ascii="Times New Roman" w:hAnsi="Times New Roman"/>
          <w:b w:val="false"/>
          <w:i w:val="false"/>
          <w:color w:val="000000"/>
          <w:sz w:val="21"/>
        </w:rPr>
        <w:t>[Filed 1/11/96, Notice 10/11/95—published 1/31/96, effective 3/6/96]</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7834C</w:t>
      </w:r>
      <w:r>
        <w:rPr>
          <w:rFonts w:ascii="Times New Roman" w:hAnsi="Times New Roman"/>
          <w:b w:val="false"/>
          <w:i w:val="false"/>
          <w:color w:val="000000"/>
          <w:sz w:val="21"/>
        </w:rPr>
        <w:t xml:space="preserve"> (Notice ARC 7282C,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D.2.pdf" Type="http://schemas.openxmlformats.org/officeDocument/2006/relationships/hyperlink" Id="rId5"/>
    <Relationship TargetMode="External" Target="https://www.legis.iowa.gov/docs/iac/rule/481.496.4.pdf" Type="http://schemas.openxmlformats.org/officeDocument/2006/relationships/hyperlink" Id="rId6"/>
    <Relationship TargetMode="External" Target="https://www.legis.iowa.gov/docs/iac/rule/481.496.4.pdf" Type="http://schemas.openxmlformats.org/officeDocument/2006/relationships/hyperlink" Id="rId7"/>
    <Relationship TargetMode="External" Target="https://www.legis.iowa.gov/docs/ico/chapter/136D.pdf" Type="http://schemas.openxmlformats.org/officeDocument/2006/relationships/hyperlink" Id="rId8"/>
    <Relationship TargetMode="External" Target="https://www.legis.iowa.gov/docs/iac/chapter/481.9.pdf" Type="http://schemas.openxmlformats.org/officeDocument/2006/relationships/hyperlink" Id="rId9"/>
    <Relationship TargetMode="External" Target="https://www.legis.iowa.gov/docs/iac/rule/481.496.5.pdf" Type="http://schemas.openxmlformats.org/officeDocument/2006/relationships/hyperlink" Id="rId10"/>
    <Relationship TargetMode="External" Target="https://www.legis.iowa.gov/docs/ico/chapter/136D.6.pdf" Type="http://schemas.openxmlformats.org/officeDocument/2006/relationships/hyperlink" Id="rId11"/>
    <Relationship TargetMode="External" Target="https://www.legis.iowa.gov/docs/ico/chapter/136D.8.pdf" Type="http://schemas.openxmlformats.org/officeDocument/2006/relationships/hyperlink" Id="rId12"/>
    <Relationship TargetMode="External" Target="https://www.legis.iowa.gov/docs/ico/chapter/136D.8.pdf" Type="http://schemas.openxmlformats.org/officeDocument/2006/relationships/hyperlink" Id="rId13"/>
    <Relationship TargetMode="External" Target="https://www.legis.iowa.gov/docs/ico/chapter/136D.9.pdf" Type="http://schemas.openxmlformats.org/officeDocument/2006/relationships/hyperlink" Id="rId14"/>
    <Relationship TargetMode="External" Target="https://www.legis.iowa.gov/docs/iac/chapter/481.9.pdf" Type="http://schemas.openxmlformats.org/officeDocument/2006/relationships/hyperlink" Id="rId15"/>
    <Relationship TargetMode="External" Target="https://www.legis.iowa.gov/docs/ico/chapter/136D.pdf" Type="http://schemas.openxmlformats.org/officeDocument/2006/relationships/hyperlink" Id="rId16"/>
    <Relationship TargetMode="External" Target="https://www.legis.iowa.gov/docs/ico/chapter/136D.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