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49</w:t>
      </w:r>
    </w:p>
    <w:p>
      <w:pPr>
        <w:spacing w:before="0" w:after="0"/>
        <w:ind w:left="120"/>
        <w:jc w:val="center"/>
      </w:pPr>
      <w:r>
        <w:rPr>
          <w:rFonts w:ascii="Times New Roman" w:hAnsi="Times New Roman"/>
          <w:b w:val="false"/>
          <w:i w:val="false"/>
          <w:color w:val="000000"/>
          <w:sz w:val="21"/>
        </w:rPr>
        <w:t xml:space="preserve">AMBULATORY SURGICAL CENTERS </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6/5/29</w:t>
      </w:r>
    </w:p>
    <w:p>
      <w:pPr>
        <w:spacing w:before="0" w:after="0"/>
        <w:ind w:left="120"/>
        <w:jc w:val="both"/>
      </w:pPr>
      <w:r>
        <w:rPr>
          <w:rFonts w:ascii="Times New Roman" w:hAnsi="Times New Roman"/>
          <w:b/>
          <w:i w:val="false"/>
          <w:color w:val="000000"/>
          <w:sz w:val="22"/>
        </w:rPr>
        <w:t>481—49.1</w:t>
      </w:r>
      <w:r>
        <w:rPr>
          <w:rFonts w:ascii="Times New Roman" w:hAnsi="Times New Roman"/>
          <w:b/>
          <w:i w:val="false"/>
          <w:color w:val="000000"/>
          <w:sz w:val="22"/>
        </w:rPr>
        <w:t xml:space="preserve">(135R)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“Ambulatory surgical center” </w:t>
      </w:r>
      <w:r>
        <w:rPr>
          <w:rFonts w:ascii="Times New Roman" w:hAnsi="Times New Roman"/>
          <w:b w:val="false"/>
          <w:i w:val="false"/>
          <w:color w:val="000000"/>
          <w:sz w:val="22"/>
        </w:rPr>
        <w:t xml:space="preserve">means the same as defined by Iowa Code section </w:t>
      </w:r>
      <w:hyperlink r:id="rId5">
        <w:r>
          <w:rPr>
            <w:rStyle w:val="Hyperlink"/>
            <w:rFonts w:ascii="Times New Roman" w:hAnsi="Times New Roman"/>
            <w:b w:val="false"/>
            <w:i w:val="false"/>
            <w:color w:val="000000"/>
            <w:sz w:val="22"/>
          </w:rPr>
          <w:t>135R.1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inspections, appeals, and licensing.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7886C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481—49.2</w:t>
      </w:r>
      <w:r>
        <w:rPr>
          <w:rFonts w:ascii="Times New Roman" w:hAnsi="Times New Roman"/>
          <w:b/>
          <w:i w:val="false"/>
          <w:color w:val="000000"/>
          <w:sz w:val="22"/>
        </w:rPr>
        <w:t xml:space="preserve">(135R,10A) </w:t>
      </w:r>
      <w:r>
        <w:rPr>
          <w:rFonts w:ascii="Times New Roman" w:hAnsi="Times New Roman"/>
          <w:b/>
          <w:i w:val="false"/>
          <w:color w:val="000000"/>
          <w:sz w:val="22"/>
        </w:rPr>
        <w:t xml:space="preserve">Application and licensing.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licensing. </w:t>
      </w:r>
      <w:r>
        <w:rPr>
          <w:rFonts w:ascii="Times New Roman" w:hAnsi="Times New Roman"/>
          <w:b w:val="false"/>
          <w:i w:val="false"/>
          <w:color w:val="000000"/>
          <w:sz w:val="22"/>
        </w:rPr>
        <w:t xml:space="preserve">An ambulatory surgical center shall obtain a license from the department in accordance with Iowa Code section </w:t>
      </w:r>
      <w:hyperlink r:id="rId6">
        <w:r>
          <w:rPr>
            <w:rStyle w:val="Hyperlink"/>
            <w:rFonts w:ascii="Times New Roman" w:hAnsi="Times New Roman"/>
            <w:b w:val="false"/>
            <w:i w:val="false"/>
            <w:color w:val="000000"/>
            <w:sz w:val="22"/>
          </w:rPr>
          <w:t>135R.2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ambulatory surgical center seeking licensure will make application on forms provided by the department or through the department’s online application system. Upon receipt of a completed application, including completion of the building and plan review set forth in paragraph </w:t>
      </w:r>
      <w:hyperlink r:id="rId7">
        <w:r>
          <w:rPr>
            <w:rStyle w:val="Hyperlink"/>
            <w:rFonts w:ascii="Times New Roman" w:hAnsi="Times New Roman"/>
            <w:b w:val="false"/>
            <w:i w:val="false"/>
            <w:color w:val="000000"/>
            <w:sz w:val="22"/>
          </w:rPr>
          <w:t>49.2(1)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receipt of the $50 fee set forth in Iowa Code section </w:t>
      </w:r>
      <w:hyperlink r:id="rId8">
        <w:r>
          <w:rPr>
            <w:rStyle w:val="Hyperlink"/>
            <w:rFonts w:ascii="Times New Roman" w:hAnsi="Times New Roman"/>
            <w:b w:val="false"/>
            <w:i w:val="false"/>
            <w:color w:val="000000"/>
            <w:sz w:val="22"/>
          </w:rPr>
          <w:t>135R.3(3)</w:t>
        </w:r>
      </w:hyperlink>
      <w:r>
        <w:rPr>
          <w:rFonts w:ascii="Times New Roman" w:hAnsi="Times New Roman"/>
          <w:b w:val="false"/>
          <w:i w:val="false"/>
          <w:color w:val="000000"/>
          <w:sz w:val="22"/>
        </w:rPr>
        <w:t>, the application will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ambulatory surgical center applicant shall submit architectural technical documents, engineering documents, and plans and specifications to the department’s building and construction division in accordance with rule </w:t>
      </w:r>
      <w:hyperlink r:id="rId9">
        <w:r>
          <w:rPr>
            <w:rStyle w:val="Hyperlink"/>
            <w:rFonts w:ascii="Times New Roman" w:hAnsi="Times New Roman"/>
            <w:b w:val="false"/>
            <w:i w:val="false"/>
            <w:color w:val="000000"/>
            <w:sz w:val="22"/>
          </w:rPr>
          <w:t>661—300.4</w:t>
        </w:r>
      </w:hyperlink>
      <w:r>
        <w:rPr>
          <w:rFonts w:ascii="Times New Roman" w:hAnsi="Times New Roman"/>
          <w:b w:val="false"/>
          <w:i w:val="false"/>
          <w:color w:val="000000"/>
          <w:sz w:val="22"/>
        </w:rPr>
        <w:t xml:space="preserve">(103A) that demonstrate the applicant’s compliance with the construction and physical environment requirements of subrule </w:t>
      </w:r>
      <w:hyperlink r:id="rId10">
        <w:r>
          <w:rPr>
            <w:rStyle w:val="Hyperlink"/>
            <w:rFonts w:ascii="Times New Roman" w:hAnsi="Times New Roman"/>
            <w:b w:val="false"/>
            <w:i w:val="false"/>
            <w:color w:val="000000"/>
            <w:sz w:val="22"/>
          </w:rPr>
          <w:t>49.4(2)</w:t>
        </w:r>
      </w:hyperlink>
      <w:r>
        <w:rPr>
          <w:rFonts w:ascii="Times New Roman" w:hAnsi="Times New Roman"/>
          <w:b w:val="false"/>
          <w:i w:val="false"/>
          <w:color w:val="000000"/>
          <w:sz w:val="22"/>
        </w:rPr>
        <w:t xml:space="preserve">. The submission may be completed by an authorized agent of the applicant or the responsible design professional, who shall certify that the building or building plans meet the construction and physical environment standards within subrule </w:t>
      </w:r>
      <w:hyperlink r:id="rId11">
        <w:r>
          <w:rPr>
            <w:rStyle w:val="Hyperlink"/>
            <w:rFonts w:ascii="Times New Roman" w:hAnsi="Times New Roman"/>
            <w:b w:val="false"/>
            <w:i w:val="false"/>
            <w:color w:val="000000"/>
            <w:sz w:val="22"/>
          </w:rPr>
          <w:t>49.4(2)</w:t>
        </w:r>
      </w:hyperlink>
      <w:r>
        <w:rPr>
          <w:rFonts w:ascii="Times New Roman" w:hAnsi="Times New Roman"/>
          <w:b w:val="false"/>
          <w:i w:val="false"/>
          <w:color w:val="000000"/>
          <w:sz w:val="22"/>
        </w:rPr>
        <w:t xml:space="preserve"> or that a waiver has been granted by the department for any noncompliant standard. If the applicant was operating prior to and continuously since July 1, 2023, the applicant is permitted up to six months after submission of its license application to submit plans demonstrating compliance with subrule </w:t>
      </w:r>
      <w:hyperlink r:id="rId12">
        <w:r>
          <w:rPr>
            <w:rStyle w:val="Hyperlink"/>
            <w:rFonts w:ascii="Times New Roman" w:hAnsi="Times New Roman"/>
            <w:b w:val="false"/>
            <w:i w:val="false"/>
            <w:color w:val="000000"/>
            <w:sz w:val="22"/>
          </w:rPr>
          <w:t>49.4(1)</w:t>
        </w:r>
      </w:hyperlink>
      <w:r>
        <w:rPr>
          <w:rFonts w:ascii="Times New Roman" w:hAnsi="Times New Roman"/>
          <w:b w:val="false"/>
          <w:i w:val="false"/>
          <w:color w:val="000000"/>
          <w:sz w:val="22"/>
        </w:rPr>
        <w:t xml:space="preserve"> or obtaining waivers for the construction and physical environment standards in accordance with subrule </w:t>
      </w:r>
      <w:hyperlink r:id="rId13">
        <w:r>
          <w:rPr>
            <w:rStyle w:val="Hyperlink"/>
            <w:rFonts w:ascii="Times New Roman" w:hAnsi="Times New Roman"/>
            <w:b w:val="false"/>
            <w:i w:val="false"/>
            <w:color w:val="000000"/>
            <w:sz w:val="22"/>
          </w:rPr>
          <w:t>49.4(2)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49.2(2)</w:t>
      </w:r>
      <w:r>
        <w:rPr>
          <w:rFonts w:ascii="Times New Roman" w:hAnsi="Times New Roman"/>
          <w:b w:val="false"/>
          <w:i w:val="false"/>
          <w:color w:val="000000"/>
          <w:sz w:val="22"/>
        </w:rPr>
        <w:t> </w:t>
      </w:r>
      <w:r>
        <w:rPr>
          <w:rFonts w:ascii="Times New Roman" w:hAnsi="Times New Roman"/>
          <w:b w:val="false"/>
          <w:i/>
          <w:color w:val="000000"/>
          <w:sz w:val="22"/>
        </w:rPr>
        <w:t xml:space="preserve">Certificate of need. </w:t>
      </w:r>
      <w:r>
        <w:rPr>
          <w:rFonts w:ascii="Times New Roman" w:hAnsi="Times New Roman"/>
          <w:b w:val="false"/>
          <w:i w:val="false"/>
          <w:color w:val="000000"/>
          <w:sz w:val="22"/>
        </w:rPr>
        <w:t xml:space="preserve">An ambulatory surgical center will be granted an initial license and is not required to obtain a new certificate of need solely because licensure is mandated by Iowa Code chapter </w:t>
      </w:r>
      <w:hyperlink r:id="rId14">
        <w:r>
          <w:rPr>
            <w:rStyle w:val="Hyperlink"/>
            <w:rFonts w:ascii="Times New Roman" w:hAnsi="Times New Roman"/>
            <w:b w:val="false"/>
            <w:i w:val="false"/>
            <w:color w:val="000000"/>
            <w:sz w:val="22"/>
          </w:rPr>
          <w:t>135R</w:t>
        </w:r>
      </w:hyperlink>
      <w:r>
        <w:rPr>
          <w:rFonts w:ascii="Times New Roman" w:hAnsi="Times New Roman"/>
          <w:b w:val="false"/>
          <w:i w:val="false"/>
          <w:color w:val="000000"/>
          <w:sz w:val="22"/>
        </w:rPr>
        <w:t xml:space="preserve"> if the ambulatory surgical center was operating prior to and continuously since July 1, 2023. If an ambulatory surgical center beginning or modifying its operations on or after July 1, 2023, would be required to obtain a certificate of need from the health facilities council pursuant to Iowa Code chapter </w:t>
      </w:r>
      <w:hyperlink r:id="rId15">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subchapter VII, part 2, it shall obtain a certificate of need from the health facilities council prior to submitting its license application to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49.2(3)</w:t>
      </w:r>
      <w:r>
        <w:rPr>
          <w:rFonts w:ascii="Times New Roman" w:hAnsi="Times New Roman"/>
          <w:b w:val="false"/>
          <w:i w:val="false"/>
          <w:color w:val="000000"/>
          <w:sz w:val="22"/>
        </w:rPr>
        <w:t> </w:t>
      </w:r>
      <w:r>
        <w:rPr>
          <w:rFonts w:ascii="Times New Roman" w:hAnsi="Times New Roman"/>
          <w:b w:val="false"/>
          <w:i/>
          <w:color w:val="000000"/>
          <w:sz w:val="22"/>
        </w:rPr>
        <w:t xml:space="preserve">Renewal, changes of ownership, and changes of information. </w:t>
      </w:r>
      <w:r>
        <w:rPr>
          <w:rFonts w:ascii="Times New Roman" w:hAnsi="Times New Roman"/>
          <w:b w:val="false"/>
          <w:i w:val="false"/>
          <w:color w:val="000000"/>
          <w:sz w:val="22"/>
        </w:rPr>
        <w:t xml:space="preserve">A license issued pursuant to this chapter expires one year after the date of issuance or as indicated on the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To renew a license, a completed application form shall be submitted to the department 30 days prior to license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Change of ownership. </w:t>
      </w:r>
      <w:r>
        <w:rPr>
          <w:rFonts w:ascii="Times New Roman" w:hAnsi="Times New Roman"/>
          <w:b w:val="false"/>
          <w:i w:val="false"/>
          <w:color w:val="000000"/>
          <w:sz w:val="22"/>
        </w:rPr>
        <w:t>To request a change of ownership, a completed application form shall be submitted to the department for the new owner at least 30 days prior to the proposed effective date of the change of ownership. A change of ownership includes the purchase, transfer, assignment, or lease of the licensed ambulatory surgical center and includes a change in the management company responsible for the day-to-day operation of the ambulatory surgical center if the management company is ultimately responsible for any enforcement action taken by the department. For purposes of determining ownership and whether such changes constitute a change of ownership, the department adopts the Centers for Medicare and Medicaid Services (CMS) State Operations Manual sections 3210.1A and 3210.1D (Rev.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1, 05-21-04).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Change of information. </w:t>
      </w:r>
      <w:r>
        <w:rPr>
          <w:rFonts w:ascii="Times New Roman" w:hAnsi="Times New Roman"/>
          <w:b w:val="false"/>
          <w:i w:val="false"/>
          <w:color w:val="000000"/>
          <w:sz w:val="22"/>
        </w:rPr>
        <w:t xml:space="preserve">The department should be notified of any changes to an applicant’s or licensee’s application information within 30 days of the date the change occurs, including the cessation of operation.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49.2(4)</w:t>
      </w:r>
      <w:r>
        <w:rPr>
          <w:rFonts w:ascii="Times New Roman" w:hAnsi="Times New Roman"/>
          <w:b w:val="false"/>
          <w:i w:val="false"/>
          <w:color w:val="000000"/>
          <w:sz w:val="22"/>
        </w:rPr>
        <w:t> </w:t>
      </w:r>
      <w:r>
        <w:rPr>
          <w:rFonts w:ascii="Times New Roman" w:hAnsi="Times New Roman"/>
          <w:b w:val="false"/>
          <w:i/>
          <w:color w:val="000000"/>
          <w:sz w:val="22"/>
        </w:rPr>
        <w:t xml:space="preserve">Public display. </w:t>
      </w:r>
      <w:r>
        <w:rPr>
          <w:rFonts w:ascii="Times New Roman" w:hAnsi="Times New Roman"/>
          <w:b w:val="false"/>
          <w:i w:val="false"/>
          <w:color w:val="000000"/>
          <w:sz w:val="22"/>
        </w:rPr>
        <w:t xml:space="preserve">The license shall be displayed in a conspicuous place in the ambulatory surgical center viewed by the public.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7886C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481—49.3</w:t>
      </w:r>
      <w:r>
        <w:rPr>
          <w:rFonts w:ascii="Times New Roman" w:hAnsi="Times New Roman"/>
          <w:b/>
          <w:i w:val="false"/>
          <w:color w:val="000000"/>
          <w:sz w:val="22"/>
        </w:rPr>
        <w:t xml:space="preserve">(135R,10A) </w:t>
      </w:r>
      <w:r>
        <w:rPr>
          <w:rFonts w:ascii="Times New Roman" w:hAnsi="Times New Roman"/>
          <w:b/>
          <w:i w:val="false"/>
          <w:color w:val="000000"/>
          <w:sz w:val="22"/>
        </w:rPr>
        <w:t xml:space="preserve">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49.3(1)</w:t>
      </w:r>
      <w:r>
        <w:rPr>
          <w:rFonts w:ascii="Times New Roman" w:hAnsi="Times New Roman"/>
          <w:b w:val="false"/>
          <w:i w:val="false"/>
          <w:color w:val="000000"/>
          <w:sz w:val="22"/>
        </w:rPr>
        <w:t> </w:t>
      </w:r>
      <w:r>
        <w:rPr>
          <w:rFonts w:ascii="Times New Roman" w:hAnsi="Times New Roman"/>
          <w:b w:val="false"/>
          <w:i/>
          <w:color w:val="000000"/>
          <w:sz w:val="22"/>
        </w:rPr>
        <w:t xml:space="preserve">Frequency. </w:t>
      </w:r>
      <w:r>
        <w:rPr>
          <w:rFonts w:ascii="Times New Roman" w:hAnsi="Times New Roman"/>
          <w:b w:val="false"/>
          <w:i w:val="false"/>
          <w:color w:val="000000"/>
          <w:sz w:val="22"/>
        </w:rPr>
        <w:t>Inspections may be initiated because of a complaint or other information received by the department or upon referral from other agencies. The department will perform inspections at the same frequency and utilize any priority tier structure for survey and certification activities required for inspections of Medicare-certified ambulatory surgical centers. The department will recognize, in lieu of its own licensure inspection, the comparable inspection and findings of a Medicare survey or an accrediting organization survey from an accrediting organization approved by CMS for federal certification. An ambulatory surgical center utilizing an accrediting organization survey to satisfy the requirements of this subrule shall submit an accreditation certificate to the department within 30 days of completion of each accrediting organization survey.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49.3(2)</w:t>
      </w:r>
      <w:r>
        <w:rPr>
          <w:rFonts w:ascii="Times New Roman" w:hAnsi="Times New Roman"/>
          <w:b w:val="false"/>
          <w:i w:val="false"/>
          <w:color w:val="000000"/>
          <w:sz w:val="22"/>
        </w:rPr>
        <w:t> </w:t>
      </w:r>
      <w:r>
        <w:rPr>
          <w:rFonts w:ascii="Times New Roman" w:hAnsi="Times New Roman"/>
          <w:b w:val="false"/>
          <w:i/>
          <w:color w:val="000000"/>
          <w:sz w:val="22"/>
        </w:rPr>
        <w:t xml:space="preserve">Access to records. </w:t>
      </w:r>
      <w:r>
        <w:rPr>
          <w:rFonts w:ascii="Times New Roman" w:hAnsi="Times New Roman"/>
          <w:b w:val="false"/>
          <w:i w:val="false"/>
          <w:color w:val="000000"/>
          <w:sz w:val="22"/>
        </w:rPr>
        <w:t>An inspector with the department may enter an ambulatory surgical center without a warrant and may examine and copy all records and items pertaining to the inspection unless the record or item is protected by some other legal privilege.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49.3(3)</w:t>
      </w:r>
      <w:r>
        <w:rPr>
          <w:rFonts w:ascii="Times New Roman" w:hAnsi="Times New Roman"/>
          <w:b w:val="false"/>
          <w:i w:val="false"/>
          <w:color w:val="000000"/>
          <w:sz w:val="22"/>
        </w:rPr>
        <w:t> </w:t>
      </w:r>
      <w:r>
        <w:rPr>
          <w:rFonts w:ascii="Times New Roman" w:hAnsi="Times New Roman"/>
          <w:b w:val="false"/>
          <w:i/>
          <w:color w:val="000000"/>
          <w:sz w:val="22"/>
        </w:rPr>
        <w:t xml:space="preserve">Evaluation of allegations and referral to other agencies. </w:t>
      </w:r>
      <w:r>
        <w:rPr>
          <w:rFonts w:ascii="Times New Roman" w:hAnsi="Times New Roman"/>
          <w:b w:val="false"/>
          <w:i w:val="false"/>
          <w:color w:val="000000"/>
          <w:sz w:val="22"/>
        </w:rPr>
        <w:t>If an inspection is initiated, the department will evaluate the allegations to determine whether the allegations should also be referred to other local, state, or federal agencies. If the department believes a criminal or regulatory violation has occurred or is occurring, the department shall notify the appropriate law enforcement or regulatory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49.3(4)</w:t>
      </w:r>
      <w:r>
        <w:rPr>
          <w:rFonts w:ascii="Times New Roman" w:hAnsi="Times New Roman"/>
          <w:b w:val="false"/>
          <w:i w:val="false"/>
          <w:color w:val="000000"/>
          <w:sz w:val="22"/>
        </w:rPr>
        <w:t> </w:t>
      </w:r>
      <w:r>
        <w:rPr>
          <w:rFonts w:ascii="Times New Roman" w:hAnsi="Times New Roman"/>
          <w:b w:val="false"/>
          <w:i/>
          <w:color w:val="000000"/>
          <w:sz w:val="22"/>
        </w:rPr>
        <w:t xml:space="preserve">Final findings. </w:t>
      </w:r>
      <w:r>
        <w:rPr>
          <w:rFonts w:ascii="Times New Roman" w:hAnsi="Times New Roman"/>
          <w:b w:val="false"/>
          <w:i w:val="false"/>
          <w:color w:val="000000"/>
          <w:sz w:val="22"/>
        </w:rPr>
        <w:t xml:space="preserve">The department will notify the ambulatory surgical center and any complainant, in writing, of the final findings of an inspection.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49.3(5)</w:t>
      </w:r>
      <w:r>
        <w:rPr>
          <w:rFonts w:ascii="Times New Roman" w:hAnsi="Times New Roman"/>
          <w:b w:val="false"/>
          <w:i w:val="false"/>
          <w:color w:val="000000"/>
          <w:sz w:val="22"/>
        </w:rPr>
        <w:t> </w:t>
      </w:r>
      <w:r>
        <w:rPr>
          <w:rFonts w:ascii="Times New Roman" w:hAnsi="Times New Roman"/>
          <w:b w:val="false"/>
          <w:i/>
          <w:color w:val="000000"/>
          <w:sz w:val="22"/>
        </w:rPr>
        <w:t xml:space="preserve">Inspector conflict of interest. </w:t>
      </w:r>
      <w:r>
        <w:rPr>
          <w:rFonts w:ascii="Times New Roman" w:hAnsi="Times New Roman"/>
          <w:b w:val="false"/>
          <w:i w:val="false"/>
          <w:color w:val="000000"/>
          <w:sz w:val="22"/>
        </w:rPr>
        <w:t xml:space="preserve">An employee of the department will be excluded from participating in the inspection of an ambulatory surgical facility described by Iowa Code section </w:t>
      </w:r>
      <w:hyperlink r:id="rId16">
        <w:r>
          <w:rPr>
            <w:rStyle w:val="Hyperlink"/>
            <w:rFonts w:ascii="Times New Roman" w:hAnsi="Times New Roman"/>
            <w:b w:val="false"/>
            <w:i w:val="false"/>
            <w:color w:val="000000"/>
            <w:sz w:val="22"/>
          </w:rPr>
          <w:t>135R.5(3)</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7886C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481—49.4</w:t>
      </w:r>
      <w:r>
        <w:rPr>
          <w:rFonts w:ascii="Times New Roman" w:hAnsi="Times New Roman"/>
          <w:b/>
          <w:i w:val="false"/>
          <w:color w:val="000000"/>
          <w:sz w:val="22"/>
        </w:rPr>
        <w:t xml:space="preserve">(135R) </w:t>
      </w:r>
      <w:r>
        <w:rPr>
          <w:rFonts w:ascii="Times New Roman" w:hAnsi="Times New Roman"/>
          <w:b/>
          <w:i w:val="false"/>
          <w:color w:val="000000"/>
          <w:sz w:val="22"/>
        </w:rPr>
        <w:t xml:space="preserve">General licensing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49.4(1)</w:t>
      </w:r>
      <w:r>
        <w:rPr>
          <w:rFonts w:ascii="Times New Roman" w:hAnsi="Times New Roman"/>
          <w:b w:val="false"/>
          <w:i w:val="false"/>
          <w:color w:val="000000"/>
          <w:sz w:val="22"/>
        </w:rPr>
        <w:t> </w:t>
      </w:r>
      <w:r>
        <w:rPr>
          <w:rFonts w:ascii="Times New Roman" w:hAnsi="Times New Roman"/>
          <w:b w:val="false"/>
          <w:i/>
          <w:color w:val="000000"/>
          <w:sz w:val="22"/>
        </w:rPr>
        <w:t xml:space="preserve">Federal specific conditions of coverage. </w:t>
      </w:r>
      <w:r>
        <w:rPr>
          <w:rFonts w:ascii="Times New Roman" w:hAnsi="Times New Roman"/>
          <w:b w:val="false"/>
          <w:i w:val="false"/>
          <w:color w:val="000000"/>
          <w:sz w:val="22"/>
        </w:rPr>
        <w:t>A state-licensed ambulatory surgical center shall comply with the specific conditions for coverage in the federal Medicare program for ambulatory surgical centers under 42 CFR Part 416, Subpart C, as amended to July 1, 2023, and federal interpretive guidelines for such regulations, including Appendix L of the State Operations Manual published by CMS, Rev.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215, as amended to July 21, 2023, or an accreditation standard of The Joint Commission, the American Association for Accreditation of Ambulatory Surgical Facilities, the Accreditation Association for Ambulatory Health Care, or an accrediting organization approved by CMS for federal certification if the state-licensed ambulatory surgical center is inspected by an accrediting organization pursuant to subrule </w:t>
      </w:r>
      <w:hyperlink r:id="rId17">
        <w:r>
          <w:rPr>
            <w:rStyle w:val="Hyperlink"/>
            <w:rFonts w:ascii="Times New Roman" w:hAnsi="Times New Roman"/>
            <w:b w:val="false"/>
            <w:i w:val="false"/>
            <w:color w:val="000000"/>
            <w:sz w:val="22"/>
          </w:rPr>
          <w:t>49.3(1)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49.4(2)</w:t>
      </w:r>
      <w:r>
        <w:rPr>
          <w:rFonts w:ascii="Times New Roman" w:hAnsi="Times New Roman"/>
          <w:b w:val="false"/>
          <w:i w:val="false"/>
          <w:color w:val="000000"/>
          <w:sz w:val="22"/>
        </w:rPr>
        <w:t> </w:t>
      </w:r>
      <w:r>
        <w:rPr>
          <w:rFonts w:ascii="Times New Roman" w:hAnsi="Times New Roman"/>
          <w:b w:val="false"/>
          <w:i/>
          <w:color w:val="000000"/>
          <w:sz w:val="22"/>
        </w:rPr>
        <w:t xml:space="preserve">Construction and physical environment standards. </w:t>
      </w:r>
      <w:r>
        <w:rPr>
          <w:rFonts w:ascii="Times New Roman" w:hAnsi="Times New Roman"/>
          <w:b w:val="false"/>
          <w:i w:val="false"/>
          <w:color w:val="000000"/>
          <w:sz w:val="22"/>
        </w:rPr>
        <w:t xml:space="preserve">In accordance with subrule </w:t>
      </w:r>
      <w:hyperlink r:id="rId18">
        <w:r>
          <w:rPr>
            <w:rStyle w:val="Hyperlink"/>
            <w:rFonts w:ascii="Times New Roman" w:hAnsi="Times New Roman"/>
            <w:b w:val="false"/>
            <w:i w:val="false"/>
            <w:color w:val="000000"/>
            <w:sz w:val="22"/>
          </w:rPr>
          <w:t>49.4(1)</w:t>
        </w:r>
      </w:hyperlink>
      <w:r>
        <w:rPr>
          <w:rFonts w:ascii="Times New Roman" w:hAnsi="Times New Roman"/>
          <w:b w:val="false"/>
          <w:i w:val="false"/>
          <w:color w:val="000000"/>
          <w:sz w:val="22"/>
        </w:rPr>
        <w:t xml:space="preserve">, the construction and physical environment standards of 42 CFR 416.44 as amended to July 1, 2023, are adopted. Ambulatory surgical centers built in compliance with construction and environment standards applicable at the time of building approval or building plan approval under subrule </w:t>
      </w:r>
      <w:hyperlink r:id="rId19">
        <w:r>
          <w:rPr>
            <w:rStyle w:val="Hyperlink"/>
            <w:rFonts w:ascii="Times New Roman" w:hAnsi="Times New Roman"/>
            <w:b w:val="false"/>
            <w:i w:val="false"/>
            <w:color w:val="000000"/>
            <w:sz w:val="22"/>
          </w:rPr>
          <w:t>49.2(1)</w:t>
        </w:r>
      </w:hyperlink>
      <w:r>
        <w:rPr>
          <w:rFonts w:ascii="Times New Roman" w:hAnsi="Times New Roman"/>
          <w:b w:val="false"/>
          <w:i w:val="false"/>
          <w:color w:val="000000"/>
          <w:sz w:val="22"/>
        </w:rPr>
        <w:t xml:space="preserve"> are deemed in compliance with subsequent regulations, with the exception of any structural renovations, additions, functional alterations, or changes in space utilization after the date of approval. Any such structural renovations, additions, functional alterations, or changes in space utilization that will occur after the licensee’s initial approval shall be reviewed and approved in accordance with paragraph </w:t>
      </w:r>
      <w:hyperlink r:id="rId20">
        <w:r>
          <w:rPr>
            <w:rStyle w:val="Hyperlink"/>
            <w:rFonts w:ascii="Times New Roman" w:hAnsi="Times New Roman"/>
            <w:b w:val="false"/>
            <w:i w:val="false"/>
            <w:color w:val="000000"/>
            <w:sz w:val="22"/>
          </w:rPr>
          <w:t>49.2(3)</w:t>
        </w:r>
      </w:hyperlink>
      <w:r>
        <w:rPr>
          <w:rFonts w:ascii="Times New Roman" w:hAnsi="Times New Roman"/>
          <w:b w:val="false"/>
          <w:i/>
          <w:color w:val="000000"/>
          <w:sz w:val="22"/>
        </w:rPr>
        <w:t>“b”</w:t>
      </w:r>
      <w:r>
        <w:rPr>
          <w:rFonts w:ascii="Times New Roman" w:hAnsi="Times New Roman"/>
          <w:b w:val="false"/>
          <w:i w:val="false"/>
          <w:color w:val="000000"/>
          <w:sz w:val="22"/>
        </w:rPr>
        <w:t xml:space="preserve"> prior to such changes being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49.4(3)</w:t>
      </w:r>
      <w:r>
        <w:rPr>
          <w:rFonts w:ascii="Times New Roman" w:hAnsi="Times New Roman"/>
          <w:b w:val="false"/>
          <w:i w:val="false"/>
          <w:color w:val="000000"/>
          <w:sz w:val="22"/>
        </w:rPr>
        <w:t> </w:t>
      </w:r>
      <w:r>
        <w:rPr>
          <w:rFonts w:ascii="Times New Roman" w:hAnsi="Times New Roman"/>
          <w:b w:val="false"/>
          <w:i/>
          <w:color w:val="000000"/>
          <w:sz w:val="22"/>
        </w:rPr>
        <w:t xml:space="preserve">External reporting. </w:t>
      </w:r>
      <w:r>
        <w:rPr>
          <w:rFonts w:ascii="Times New Roman" w:hAnsi="Times New Roman"/>
          <w:b w:val="false"/>
          <w:i w:val="false"/>
          <w:color w:val="000000"/>
          <w:sz w:val="22"/>
        </w:rPr>
        <w:t>An ambulatory surgical center shall report quality data to the Iowa department of health and human services consistent with the data required to be reported to CMS in accordance with rules promulgated by the Iowa department of health and human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7886C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481—49.5</w:t>
      </w:r>
      <w:r>
        <w:rPr>
          <w:rFonts w:ascii="Times New Roman" w:hAnsi="Times New Roman"/>
          <w:b/>
          <w:i w:val="false"/>
          <w:color w:val="000000"/>
          <w:sz w:val="22"/>
        </w:rPr>
        <w:t xml:space="preserve">(135R) </w:t>
      </w:r>
      <w:r>
        <w:rPr>
          <w:rFonts w:ascii="Times New Roman" w:hAnsi="Times New Roman"/>
          <w:b/>
          <w:i w:val="false"/>
          <w:color w:val="000000"/>
          <w:sz w:val="22"/>
        </w:rPr>
        <w:t xml:space="preserve">Enforcement and 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49.5(1)</w:t>
      </w:r>
      <w:r>
        <w:rPr>
          <w:rFonts w:ascii="Times New Roman" w:hAnsi="Times New Roman"/>
          <w:b w:val="false"/>
          <w:i w:val="false"/>
          <w:color w:val="000000"/>
          <w:sz w:val="22"/>
        </w:rPr>
        <w:t> </w:t>
      </w:r>
      <w:r>
        <w:rPr>
          <w:rFonts w:ascii="Times New Roman" w:hAnsi="Times New Roman"/>
          <w:b w:val="false"/>
          <w:i/>
          <w:color w:val="000000"/>
          <w:sz w:val="22"/>
        </w:rPr>
        <w:t xml:space="preserve">Denial, suspension, or revocation. </w:t>
      </w:r>
      <w:r>
        <w:rPr>
          <w:rFonts w:ascii="Times New Roman" w:hAnsi="Times New Roman"/>
          <w:b w:val="false"/>
          <w:i w:val="false"/>
          <w:color w:val="000000"/>
          <w:sz w:val="22"/>
        </w:rPr>
        <w:t xml:space="preserve">The license for an ambulatory surgical center may be denied, suspended, or revoked for failure to comply with Iowa Code chapter </w:t>
      </w:r>
      <w:hyperlink r:id="rId21">
        <w:r>
          <w:rPr>
            <w:rStyle w:val="Hyperlink"/>
            <w:rFonts w:ascii="Times New Roman" w:hAnsi="Times New Roman"/>
            <w:b w:val="false"/>
            <w:i w:val="false"/>
            <w:color w:val="000000"/>
            <w:sz w:val="22"/>
          </w:rPr>
          <w:t>135R</w:t>
        </w:r>
      </w:hyperlink>
      <w:r>
        <w:rPr>
          <w:rFonts w:ascii="Times New Roman" w:hAnsi="Times New Roman"/>
          <w:b w:val="false"/>
          <w:i w:val="false"/>
          <w:color w:val="000000"/>
          <w:sz w:val="22"/>
        </w:rPr>
        <w:t xml:space="preserve"> or this chapter, including any reason for which an ambulatory surgical center could be denied, suspended, or terminated from the federal Medicare program for ambulatory surgical centers under 42 CFR Part 416 as amended to July 1, 2023, and federal interpretive guidelines, including Appendix L of the State Operations Manual published by CMS, Rev.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215, as amended to July 21, 2023.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49.5(2)</w:t>
      </w:r>
      <w:r>
        <w:rPr>
          <w:rFonts w:ascii="Times New Roman" w:hAnsi="Times New Roman"/>
          <w:b w:val="false"/>
          <w:i w:val="false"/>
          <w:color w:val="000000"/>
          <w:sz w:val="22"/>
        </w:rPr>
        <w:t> </w:t>
      </w:r>
      <w:r>
        <w:rPr>
          <w:rFonts w:ascii="Times New Roman" w:hAnsi="Times New Roman"/>
          <w:b w:val="false"/>
          <w:i/>
          <w:color w:val="000000"/>
          <w:sz w:val="22"/>
        </w:rPr>
        <w:t xml:space="preserve">Effective date and contested case appeals. </w:t>
      </w:r>
      <w:r>
        <w:rPr>
          <w:rFonts w:ascii="Times New Roman" w:hAnsi="Times New Roman"/>
          <w:b w:val="false"/>
          <w:i w:val="false"/>
          <w:color w:val="000000"/>
          <w:sz w:val="22"/>
        </w:rPr>
        <w:t xml:space="preserve">Unless otherwise stated, a denial, suspension or revocation of license is effective 30 days after certified mailing or personal service of the notice upon the licensee. The licensee may request a contested case hearing by submitting a request, in writing, to the department within 30 days of the mailing or service. Contested case appeals and hearings are governed by </w:t>
      </w:r>
      <w:hyperlink r:id="rId22">
        <w:r>
          <w:rPr>
            <w:rStyle w:val="Hyperlink"/>
            <w:rFonts w:ascii="Times New Roman" w:hAnsi="Times New Roman"/>
            <w:b w:val="false"/>
            <w:i w:val="false"/>
            <w:color w:val="000000"/>
            <w:sz w:val="22"/>
          </w:rPr>
          <w:t>481—Chapter 9</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481—Chapter 16</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49.5(3)</w:t>
      </w:r>
      <w:r>
        <w:rPr>
          <w:rFonts w:ascii="Times New Roman" w:hAnsi="Times New Roman"/>
          <w:b w:val="false"/>
          <w:i w:val="false"/>
          <w:color w:val="000000"/>
          <w:sz w:val="22"/>
        </w:rPr>
        <w:t> </w:t>
      </w:r>
      <w:r>
        <w:rPr>
          <w:rFonts w:ascii="Times New Roman" w:hAnsi="Times New Roman"/>
          <w:b w:val="false"/>
          <w:i/>
          <w:color w:val="000000"/>
          <w:sz w:val="22"/>
        </w:rPr>
        <w:t xml:space="preserve">Enjoining an unlicensed ambulatory surgical center. </w:t>
      </w:r>
      <w:r>
        <w:rPr>
          <w:rFonts w:ascii="Times New Roman" w:hAnsi="Times New Roman"/>
          <w:b w:val="false"/>
          <w:i w:val="false"/>
          <w:color w:val="000000"/>
          <w:sz w:val="22"/>
        </w:rPr>
        <w:t xml:space="preserve">An injunction or other process against any person to restrain or prevent the establishment, operation, or maintenance of an ambulatory surgical center without a license may be pursued by the department in accordance with Iowa Code section </w:t>
      </w:r>
      <w:hyperlink r:id="rId25">
        <w:r>
          <w:rPr>
            <w:rStyle w:val="Hyperlink"/>
            <w:rFonts w:ascii="Times New Roman" w:hAnsi="Times New Roman"/>
            <w:b w:val="false"/>
            <w:i w:val="false"/>
            <w:color w:val="000000"/>
            <w:sz w:val="22"/>
          </w:rPr>
          <w:t>135R.7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49.5(4)</w:t>
      </w:r>
      <w:r>
        <w:rPr>
          <w:rFonts w:ascii="Times New Roman" w:hAnsi="Times New Roman"/>
          <w:b w:val="false"/>
          <w:i w:val="false"/>
          <w:color w:val="000000"/>
          <w:sz w:val="22"/>
        </w:rPr>
        <w:t> </w:t>
      </w:r>
      <w:r>
        <w:rPr>
          <w:rFonts w:ascii="Times New Roman" w:hAnsi="Times New Roman"/>
          <w:b w:val="false"/>
          <w:i/>
          <w:color w:val="000000"/>
          <w:sz w:val="22"/>
        </w:rPr>
        <w:t xml:space="preserve">Operation of unlicensed ambulatory surgical center—serious misdemeanor. </w:t>
      </w:r>
      <w:r>
        <w:rPr>
          <w:rFonts w:ascii="Times New Roman" w:hAnsi="Times New Roman"/>
          <w:b w:val="false"/>
          <w:i w:val="false"/>
          <w:color w:val="000000"/>
          <w:sz w:val="22"/>
        </w:rPr>
        <w:t xml:space="preserve">A person establishing, operating, or maintaining an ambulatory surgical center without a license commits a serious misdemeanor as set forth in Iowa Code section </w:t>
      </w:r>
      <w:hyperlink r:id="rId26">
        <w:r>
          <w:rPr>
            <w:rStyle w:val="Hyperlink"/>
            <w:rFonts w:ascii="Times New Roman" w:hAnsi="Times New Roman"/>
            <w:b w:val="false"/>
            <w:i w:val="false"/>
            <w:color w:val="000000"/>
            <w:sz w:val="22"/>
          </w:rPr>
          <w:t>135R.9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7886C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481—49.6</w:t>
      </w:r>
      <w:r>
        <w:rPr>
          <w:rFonts w:ascii="Times New Roman" w:hAnsi="Times New Roman"/>
          <w:b/>
          <w:i w:val="false"/>
          <w:color w:val="000000"/>
          <w:sz w:val="22"/>
        </w:rPr>
        <w:t xml:space="preserve">(135R,10A) </w:t>
      </w:r>
      <w:r>
        <w:rPr>
          <w:rFonts w:ascii="Times New Roman" w:hAnsi="Times New Roman"/>
          <w:b/>
          <w:i w:val="false"/>
          <w:color w:val="000000"/>
          <w:sz w:val="22"/>
        </w:rPr>
        <w:t xml:space="preserve">Public and confidential information. </w:t>
      </w:r>
      <w:r>
        <w:rPr>
          <w:rFonts w:ascii="Times New Roman" w:hAnsi="Times New Roman"/>
          <w:b w:val="false"/>
          <w:i w:val="false"/>
          <w:color w:val="000000"/>
          <w:sz w:val="22"/>
        </w:rPr>
        <w:t xml:space="preserve">The department’s final findings with respect to compliance by an ambulatory surgical center with requirements for licensing will be made available to the public on the department’s website. Other information relating to an ambulatory surgical center obtained by the department that does not constitute the department’s final findings from an inspection, including the name and identifying information about a complainant, are confidential in accordance with Iowa Code section </w:t>
      </w:r>
      <w:hyperlink r:id="rId27">
        <w:r>
          <w:rPr>
            <w:rStyle w:val="Hyperlink"/>
            <w:rFonts w:ascii="Times New Roman" w:hAnsi="Times New Roman"/>
            <w:b w:val="false"/>
            <w:i w:val="false"/>
            <w:color w:val="000000"/>
            <w:sz w:val="22"/>
          </w:rPr>
          <w:t>135R.6</w:t>
        </w:r>
      </w:hyperlink>
      <w:r>
        <w:rPr>
          <w:rFonts w:ascii="Times New Roman" w:hAnsi="Times New Roman"/>
          <w:b w:val="false"/>
          <w:i w:val="false"/>
          <w:color w:val="000000"/>
          <w:sz w:val="22"/>
        </w:rPr>
        <w:t xml:space="preserve">. This rule does not inhibit the referral of otherwise confidential information to other law enforcement or regulatory agencies pursuant to Iowa Code section </w:t>
      </w:r>
      <w:hyperlink r:id="rId28">
        <w:r>
          <w:rPr>
            <w:rStyle w:val="Hyperlink"/>
            <w:rFonts w:ascii="Times New Roman" w:hAnsi="Times New Roman"/>
            <w:b w:val="false"/>
            <w:i w:val="false"/>
            <w:color w:val="000000"/>
            <w:sz w:val="22"/>
          </w:rPr>
          <w:t>10A.105(5)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49.6(1)</w:t>
      </w:r>
      <w:r>
        <w:rPr>
          <w:rFonts w:ascii="Times New Roman" w:hAnsi="Times New Roman"/>
          <w:b w:val="false"/>
          <w:i w:val="false"/>
          <w:color w:val="000000"/>
          <w:sz w:val="22"/>
        </w:rPr>
        <w:t> </w:t>
      </w:r>
      <w:r>
        <w:rPr>
          <w:rFonts w:ascii="Times New Roman" w:hAnsi="Times New Roman"/>
          <w:b w:val="false"/>
          <w:i/>
          <w:color w:val="000000"/>
          <w:sz w:val="22"/>
        </w:rPr>
        <w:t xml:space="preserve">Public disclosure. </w:t>
      </w:r>
      <w:r>
        <w:rPr>
          <w:rFonts w:ascii="Times New Roman" w:hAnsi="Times New Roman"/>
          <w:b w:val="false"/>
          <w:i w:val="false"/>
          <w:color w:val="000000"/>
          <w:sz w:val="22"/>
        </w:rPr>
        <w:t>The following records are open and available for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 application forms and accompanying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Final findings of the department’s inspections;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Official notices of any enforcement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49.6(2)</w:t>
      </w:r>
      <w:r>
        <w:rPr>
          <w:rFonts w:ascii="Times New Roman" w:hAnsi="Times New Roman"/>
          <w:b w:val="false"/>
          <w:i w:val="false"/>
          <w:color w:val="000000"/>
          <w:sz w:val="22"/>
        </w:rPr>
        <w:t> </w:t>
      </w:r>
      <w:r>
        <w:rPr>
          <w:rFonts w:ascii="Times New Roman" w:hAnsi="Times New Roman"/>
          <w:b w:val="false"/>
          <w:i/>
          <w:color w:val="000000"/>
          <w:sz w:val="22"/>
        </w:rPr>
        <w:t xml:space="preserve">Confidential information. </w:t>
      </w:r>
      <w:r>
        <w:rPr>
          <w:rFonts w:ascii="Times New Roman" w:hAnsi="Times New Roman"/>
          <w:b w:val="false"/>
          <w:i w:val="false"/>
          <w:color w:val="000000"/>
          <w:sz w:val="22"/>
        </w:rPr>
        <w:t>Confidential information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Information obtained by the department that does not comprise a final finding resulting from an inspection. Inspection information that does not comprise a final finding may be made public in a contested case proceeding concerning the department’s final findings, including the denial or revocation of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Names and identifying information of all complainants.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49.6(3)</w:t>
      </w:r>
      <w:r>
        <w:rPr>
          <w:rFonts w:ascii="Times New Roman" w:hAnsi="Times New Roman"/>
          <w:b w:val="false"/>
          <w:i w:val="false"/>
          <w:color w:val="000000"/>
          <w:sz w:val="22"/>
        </w:rPr>
        <w:t> </w:t>
      </w:r>
      <w:r>
        <w:rPr>
          <w:rFonts w:ascii="Times New Roman" w:hAnsi="Times New Roman"/>
          <w:b w:val="false"/>
          <w:i/>
          <w:color w:val="000000"/>
          <w:sz w:val="22"/>
        </w:rPr>
        <w:t xml:space="preserve">Redaction of confidential information. </w:t>
      </w:r>
      <w:r>
        <w:rPr>
          <w:rFonts w:ascii="Times New Roman" w:hAnsi="Times New Roman"/>
          <w:b w:val="false"/>
          <w:i w:val="false"/>
          <w:color w:val="000000"/>
          <w:sz w:val="22"/>
        </w:rPr>
        <w:t>If a record normally open for inspection contains confidential information, the confidential information will be redacted prior to providing the record for inspection.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7886C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481—49.7</w:t>
      </w:r>
      <w:r>
        <w:rPr>
          <w:rFonts w:ascii="Times New Roman" w:hAnsi="Times New Roman"/>
          <w:b/>
          <w:i w:val="false"/>
          <w:color w:val="000000"/>
          <w:sz w:val="22"/>
        </w:rPr>
        <w:t xml:space="preserve">(135R,10A) </w:t>
      </w:r>
      <w:r>
        <w:rPr>
          <w:rFonts w:ascii="Times New Roman" w:hAnsi="Times New Roman"/>
          <w:b/>
          <w:i w:val="false"/>
          <w:color w:val="000000"/>
          <w:sz w:val="22"/>
        </w:rPr>
        <w:t xml:space="preserve">Waivers. </w:t>
      </w:r>
      <w:r>
        <w:rPr>
          <w:rFonts w:ascii="Times New Roman" w:hAnsi="Times New Roman"/>
          <w:b w:val="false"/>
          <w:i w:val="false"/>
          <w:color w:val="000000"/>
          <w:sz w:val="22"/>
        </w:rPr>
        <w:t xml:space="preserve">Requests for waiver may be submitted to the department in accordance with </w:t>
      </w:r>
      <w:hyperlink r:id="rId29">
        <w:r>
          <w:rPr>
            <w:rStyle w:val="Hyperlink"/>
            <w:rFonts w:ascii="Times New Roman" w:hAnsi="Times New Roman"/>
            <w:b w:val="false"/>
            <w:i w:val="false"/>
            <w:color w:val="000000"/>
            <w:sz w:val="22"/>
          </w:rPr>
          <w:t>481—Chapter 6</w:t>
        </w:r>
      </w:hyperlink>
      <w:r>
        <w:rPr>
          <w:rFonts w:ascii="Times New Roman" w:hAnsi="Times New Roman"/>
          <w:b w:val="false"/>
          <w:i w:val="false"/>
          <w:color w:val="000000"/>
          <w:sz w:val="22"/>
        </w:rPr>
        <w:t xml:space="preserve">. Waivers may be granted by the director of the department when, in the director’s discretion, good and sufficient reasons underlying the need for a waiver have been established; no substantial risk to the health, safety, or welfare of patients is presented by approving the waiver; and alternate means are employed or compensating circumstances exist to justify the waiver. Any waiver granted is limited to the specific project under consideration and does not establish a precedent for similar acceptance in other cases.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7886C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30">
        <w:r>
          <w:rPr>
            <w:rStyle w:val="Hyperlink"/>
            <w:rFonts w:ascii="Times New Roman" w:hAnsi="Times New Roman"/>
            <w:b w:val="false"/>
            <w:i w:val="false"/>
            <w:color w:val="000000"/>
            <w:sz w:val="22"/>
          </w:rPr>
          <w:t>135R</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7886C</w:t>
      </w:r>
      <w:r>
        <w:rPr>
          <w:rFonts w:ascii="Times New Roman" w:hAnsi="Times New Roman"/>
          <w:b w:val="false"/>
          <w:i w:val="false"/>
          <w:color w:val="000000"/>
          <w:sz w:val="21"/>
        </w:rPr>
        <w:t xml:space="preserve"> (Notice ARC 7650C, IAB 2/21/24)</w:t>
      </w:r>
      <w:r>
        <w:rPr>
          <w:rFonts w:ascii="Times New Roman" w:hAnsi="Times New Roman"/>
          <w:b w:val="false"/>
          <w:i w:val="false"/>
          <w:color w:val="000000"/>
          <w:sz w:val="21"/>
        </w:rPr>
        <w:t>, IAB 5/1/24, effective 6/5/24]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R.1.pdf" Type="http://schemas.openxmlformats.org/officeDocument/2006/relationships/hyperlink" Id="rId5"/>
    <Relationship TargetMode="External" Target="https://www.legis.iowa.gov/docs/ico/chapter/135R.2.pdf" Type="http://schemas.openxmlformats.org/officeDocument/2006/relationships/hyperlink" Id="rId6"/>
    <Relationship TargetMode="External" Target="https://www.legis.iowa.gov/docs/iac/rule/481.49.2.pdf" Type="http://schemas.openxmlformats.org/officeDocument/2006/relationships/hyperlink" Id="rId7"/>
    <Relationship TargetMode="External" Target="https://www.legis.iowa.gov/docs/ico/chapter/135R.3.pdf" Type="http://schemas.openxmlformats.org/officeDocument/2006/relationships/hyperlink" Id="rId8"/>
    <Relationship TargetMode="External" Target="https://www.legis.iowa.gov/docs/iac/rule/661.300.4.pdf" Type="http://schemas.openxmlformats.org/officeDocument/2006/relationships/hyperlink" Id="rId9"/>
    <Relationship TargetMode="External" Target="https://www.legis.iowa.gov/docs/iac/rule/481.49.4.pdf" Type="http://schemas.openxmlformats.org/officeDocument/2006/relationships/hyperlink" Id="rId10"/>
    <Relationship TargetMode="External" Target="https://www.legis.iowa.gov/docs/iac/rule/481.49.4.pdf" Type="http://schemas.openxmlformats.org/officeDocument/2006/relationships/hyperlink" Id="rId11"/>
    <Relationship TargetMode="External" Target="https://www.legis.iowa.gov/docs/iac/rule/481.49.4.pdf" Type="http://schemas.openxmlformats.org/officeDocument/2006/relationships/hyperlink" Id="rId12"/>
    <Relationship TargetMode="External" Target="https://www.legis.iowa.gov/docs/iac/rule/481.49.4.pdf" Type="http://schemas.openxmlformats.org/officeDocument/2006/relationships/hyperlink" Id="rId13"/>
    <Relationship TargetMode="External" Target="https://www.legis.iowa.gov/docs/ico/chapter/135R.pdf" Type="http://schemas.openxmlformats.org/officeDocument/2006/relationships/hyperlink" Id="rId14"/>
    <Relationship TargetMode="External" Target="https://www.legis.iowa.gov/docs/ico/chapter/10A.pdf" Type="http://schemas.openxmlformats.org/officeDocument/2006/relationships/hyperlink" Id="rId15"/>
    <Relationship TargetMode="External" Target="https://www.legis.iowa.gov/docs/ico/chapter/135R.5.pdf" Type="http://schemas.openxmlformats.org/officeDocument/2006/relationships/hyperlink" Id="rId16"/>
    <Relationship TargetMode="External" Target="https://www.legis.iowa.gov/docs/iac/rule/481.49.3.pdf" Type="http://schemas.openxmlformats.org/officeDocument/2006/relationships/hyperlink" Id="rId17"/>
    <Relationship TargetMode="External" Target="https://www.legis.iowa.gov/docs/iac/rule/481.49.4.pdf" Type="http://schemas.openxmlformats.org/officeDocument/2006/relationships/hyperlink" Id="rId18"/>
    <Relationship TargetMode="External" Target="https://www.legis.iowa.gov/docs/iac/rule/481.49.2.pdf" Type="http://schemas.openxmlformats.org/officeDocument/2006/relationships/hyperlink" Id="rId19"/>
    <Relationship TargetMode="External" Target="https://www.legis.iowa.gov/docs/iac/rule/481.49.2.pdf" Type="http://schemas.openxmlformats.org/officeDocument/2006/relationships/hyperlink" Id="rId20"/>
    <Relationship TargetMode="External" Target="https://www.legis.iowa.gov/docs/ico/chapter/135R.pdf" Type="http://schemas.openxmlformats.org/officeDocument/2006/relationships/hyperlink" Id="rId21"/>
    <Relationship TargetMode="External" Target="https://www.legis.iowa.gov/docs/iac/chapter/481.9.pdf" Type="http://schemas.openxmlformats.org/officeDocument/2006/relationships/hyperlink" Id="rId22"/>
    <Relationship TargetMode="External" Target="https://www.legis.iowa.gov/docs/iac/chapter/481.10.pdf" Type="http://schemas.openxmlformats.org/officeDocument/2006/relationships/hyperlink" Id="rId23"/>
    <Relationship TargetMode="External" Target="https://www.legis.iowa.gov/docs/iac/chapter/481.16.pdf" Type="http://schemas.openxmlformats.org/officeDocument/2006/relationships/hyperlink" Id="rId24"/>
    <Relationship TargetMode="External" Target="https://www.legis.iowa.gov/docs/ico/chapter/135R.7.pdf" Type="http://schemas.openxmlformats.org/officeDocument/2006/relationships/hyperlink" Id="rId25"/>
    <Relationship TargetMode="External" Target="https://www.legis.iowa.gov/docs/ico/chapter/135R.9.pdf" Type="http://schemas.openxmlformats.org/officeDocument/2006/relationships/hyperlink" Id="rId26"/>
    <Relationship TargetMode="External" Target="https://www.legis.iowa.gov/docs/ico/chapter/135R.6.pdf" Type="http://schemas.openxmlformats.org/officeDocument/2006/relationships/hyperlink" Id="rId27"/>
    <Relationship TargetMode="External" Target="https://www.legis.iowa.gov/docs/ico/chapter/10A.105.pdf" Type="http://schemas.openxmlformats.org/officeDocument/2006/relationships/hyperlink" Id="rId28"/>
    <Relationship TargetMode="External" Target="https://www.legis.iowa.gov/docs/iac/chapter/481.6.pdf" Type="http://schemas.openxmlformats.org/officeDocument/2006/relationships/hyperlink" Id="rId29"/>
    <Relationship TargetMode="External" Target="https://www.legis.iowa.gov/docs/ico/chapter/135R.pdf" Type="http://schemas.openxmlformats.org/officeDocument/2006/relationships/hyperlink" Id="rId30"/>
    <Relationship TargetMode="External" Target="https://www.legis.iowa.gov/docs/ico/chapter/10A.pdf" Type="http://schemas.openxmlformats.org/officeDocument/2006/relationships/hyperlink" Id="rId3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